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9066"/>
      </w:tblGrid>
      <w:tr w:rsidR="00E17766" w:rsidRPr="00E17766" w:rsidTr="00E17766">
        <w:trPr>
          <w:trHeight w:val="833"/>
        </w:trPr>
        <w:tc>
          <w:tcPr>
            <w:tcW w:w="0" w:type="auto"/>
            <w:tcMar>
              <w:top w:w="0" w:type="dxa"/>
              <w:left w:w="108" w:type="dxa"/>
              <w:bottom w:w="0" w:type="dxa"/>
              <w:right w:w="108" w:type="dxa"/>
            </w:tcMar>
            <w:vAlign w:val="center"/>
            <w:hideMark/>
          </w:tcPr>
          <w:p w:rsidR="00E17766" w:rsidRPr="00E17766" w:rsidRDefault="00E17766" w:rsidP="00E17766">
            <w:pPr>
              <w:jc w:val="center"/>
              <w:rPr>
                <w:rFonts w:ascii="Times New Roman" w:eastAsia="Times New Roman" w:hAnsi="Times New Roman" w:cs="Times New Roman"/>
                <w:lang w:eastAsia="fr-FR"/>
              </w:rPr>
            </w:pPr>
            <w:r w:rsidRPr="00E17766">
              <w:rPr>
                <w:rFonts w:ascii="Calibri" w:eastAsia="Times New Roman" w:hAnsi="Calibri" w:cs="Calibri"/>
                <w:b/>
                <w:bCs/>
                <w:color w:val="16558C"/>
                <w:lang w:eastAsia="fr-FR"/>
              </w:rPr>
              <w:t>Animation Scientifique ILICO  </w:t>
            </w:r>
          </w:p>
          <w:p w:rsidR="00E17766" w:rsidRPr="00E17766" w:rsidRDefault="00E17766" w:rsidP="00E17766">
            <w:pPr>
              <w:jc w:val="center"/>
              <w:rPr>
                <w:rFonts w:ascii="Times New Roman" w:eastAsia="Times New Roman" w:hAnsi="Times New Roman" w:cs="Times New Roman"/>
                <w:lang w:eastAsia="fr-FR"/>
              </w:rPr>
            </w:pPr>
            <w:r w:rsidRPr="00E17766">
              <w:rPr>
                <w:rFonts w:ascii="Calibri" w:eastAsia="Times New Roman" w:hAnsi="Calibri" w:cs="Calibri"/>
                <w:color w:val="16558C"/>
                <w:lang w:eastAsia="fr-FR"/>
              </w:rPr>
              <w:t>Action 4 : SCIENCE EN SOCIETE</w:t>
            </w:r>
          </w:p>
        </w:tc>
      </w:tr>
      <w:tr w:rsidR="00E17766" w:rsidRPr="00E17766" w:rsidTr="00E17766">
        <w:trPr>
          <w:trHeight w:val="573"/>
        </w:trPr>
        <w:tc>
          <w:tcPr>
            <w:tcW w:w="0" w:type="auto"/>
            <w:tcMar>
              <w:top w:w="0" w:type="dxa"/>
              <w:left w:w="108" w:type="dxa"/>
              <w:bottom w:w="0" w:type="dxa"/>
              <w:right w:w="108"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2289"/>
              <w:gridCol w:w="6541"/>
            </w:tblGrid>
            <w:tr w:rsidR="00E17766" w:rsidTr="00E1776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766" w:rsidRDefault="00E17766" w:rsidP="00E17766">
                  <w:pPr>
                    <w:pStyle w:val="NormalWeb"/>
                    <w:spacing w:before="0" w:beforeAutospacing="0" w:after="0" w:afterAutospacing="0"/>
                  </w:pPr>
                  <w:r>
                    <w:rPr>
                      <w:rFonts w:ascii="Arial" w:hAnsi="Arial" w:cs="Arial"/>
                      <w:b/>
                      <w:bCs/>
                      <w:color w:val="000000"/>
                      <w:sz w:val="20"/>
                      <w:szCs w:val="20"/>
                    </w:rPr>
                    <w:t>Type de document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766" w:rsidRDefault="00E17766" w:rsidP="00E17766">
                  <w:pPr>
                    <w:pStyle w:val="NormalWeb"/>
                    <w:spacing w:before="0" w:beforeAutospacing="0" w:after="0" w:afterAutospacing="0"/>
                  </w:pPr>
                  <w:r>
                    <w:t>Note de contexte</w:t>
                  </w:r>
                </w:p>
              </w:tc>
            </w:tr>
            <w:tr w:rsidR="00E17766" w:rsidTr="00EA09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766" w:rsidRDefault="00E17766" w:rsidP="00E17766">
                  <w:pPr>
                    <w:pStyle w:val="NormalWeb"/>
                    <w:spacing w:before="0" w:beforeAutospacing="0" w:after="0" w:afterAutospacing="0"/>
                  </w:pPr>
                  <w:r>
                    <w:rPr>
                      <w:rFonts w:ascii="Arial" w:hAnsi="Arial" w:cs="Arial"/>
                      <w:b/>
                      <w:bCs/>
                      <w:color w:val="000000"/>
                      <w:sz w:val="20"/>
                      <w:szCs w:val="20"/>
                    </w:rPr>
                    <w:t xml:space="preserve">Auteurs </w:t>
                  </w:r>
                  <w:r>
                    <w:rPr>
                      <w:rFonts w:ascii="Arial" w:hAnsi="Arial" w:cs="Arial"/>
                      <w:b/>
                      <w:bCs/>
                      <w:color w:val="000000"/>
                      <w:sz w:val="20"/>
                      <w:szCs w:val="20"/>
                    </w:rPr>
                    <w:t xml:space="preserve">et </w:t>
                  </w:r>
                  <w:proofErr w:type="gramStart"/>
                  <w:r>
                    <w:rPr>
                      <w:rFonts w:ascii="Arial" w:hAnsi="Arial" w:cs="Arial"/>
                      <w:b/>
                      <w:bCs/>
                      <w:color w:val="000000"/>
                      <w:sz w:val="20"/>
                      <w:szCs w:val="20"/>
                    </w:rPr>
                    <w:t>contributeurs</w:t>
                  </w:r>
                  <w:r>
                    <w:rPr>
                      <w:rFonts w:ascii="Arial" w:hAnsi="Arial" w:cs="Arial"/>
                      <w:b/>
                      <w:bCs/>
                      <w:color w:val="000000"/>
                      <w:sz w:val="20"/>
                      <w:szCs w:val="20"/>
                    </w:rPr>
                    <w:t>:</w:t>
                  </w:r>
                  <w:proofErr w:type="gramEnd"/>
                  <w:r>
                    <w:rPr>
                      <w:rFonts w:ascii="Arial" w:hAnsi="Arial" w:cs="Arial"/>
                      <w:b/>
                      <w:bC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766" w:rsidRDefault="00E17766" w:rsidP="00E17766">
                  <w:pPr>
                    <w:pStyle w:val="NormalWeb"/>
                    <w:spacing w:before="0" w:beforeAutospacing="0" w:after="0" w:afterAutospacing="0"/>
                  </w:pPr>
                  <w:r>
                    <w:t xml:space="preserve">Lucie </w:t>
                  </w:r>
                  <w:proofErr w:type="spellStart"/>
                  <w:r>
                    <w:t>Cocquempot</w:t>
                  </w:r>
                  <w:proofErr w:type="spellEnd"/>
                  <w:r>
                    <w:t xml:space="preserve">, Christine Dupuy et </w:t>
                  </w:r>
                  <w:proofErr w:type="spellStart"/>
                  <w:r>
                    <w:t>Eric</w:t>
                  </w:r>
                  <w:proofErr w:type="spellEnd"/>
                  <w:r>
                    <w:t xml:space="preserve"> </w:t>
                  </w:r>
                  <w:proofErr w:type="spellStart"/>
                  <w:r>
                    <w:t>Feuteun</w:t>
                  </w:r>
                  <w:proofErr w:type="spellEnd"/>
                  <w:r>
                    <w:t>, membres du Groupe de Travail Action 4</w:t>
                  </w:r>
                </w:p>
              </w:tc>
            </w:tr>
            <w:tr w:rsidR="00E17766" w:rsidTr="00EA0947">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E17766" w:rsidRDefault="00E17766" w:rsidP="00E17766">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Version</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E17766" w:rsidRDefault="00E17766" w:rsidP="00E17766">
                  <w:pPr>
                    <w:pStyle w:val="NormalWeb"/>
                    <w:spacing w:before="0" w:beforeAutospacing="0" w:after="0" w:afterAutospacing="0"/>
                    <w:rPr>
                      <w:rFonts w:ascii="Arial" w:hAnsi="Arial" w:cs="Arial"/>
                      <w:color w:val="980000"/>
                      <w:sz w:val="20"/>
                      <w:szCs w:val="20"/>
                    </w:rPr>
                  </w:pPr>
                  <w:r>
                    <w:rPr>
                      <w:rFonts w:ascii="Arial" w:hAnsi="Arial" w:cs="Arial"/>
                      <w:color w:val="980000"/>
                      <w:sz w:val="20"/>
                      <w:szCs w:val="20"/>
                    </w:rPr>
                    <w:t xml:space="preserve">V1 </w:t>
                  </w:r>
                  <w:r w:rsidR="00EA0947">
                    <w:rPr>
                      <w:rFonts w:ascii="Arial" w:hAnsi="Arial" w:cs="Arial"/>
                      <w:color w:val="980000"/>
                      <w:sz w:val="20"/>
                      <w:szCs w:val="20"/>
                    </w:rPr>
                    <w:t xml:space="preserve">(04 </w:t>
                  </w:r>
                  <w:r>
                    <w:rPr>
                      <w:rFonts w:ascii="Arial" w:hAnsi="Arial" w:cs="Arial"/>
                      <w:color w:val="980000"/>
                      <w:sz w:val="20"/>
                      <w:szCs w:val="20"/>
                    </w:rPr>
                    <w:t>Février 2022</w:t>
                  </w:r>
                  <w:r w:rsidR="00EA0947">
                    <w:rPr>
                      <w:rFonts w:ascii="Arial" w:hAnsi="Arial" w:cs="Arial"/>
                      <w:color w:val="980000"/>
                      <w:sz w:val="20"/>
                      <w:szCs w:val="20"/>
                    </w:rPr>
                    <w:t>)</w:t>
                  </w:r>
                </w:p>
              </w:tc>
            </w:tr>
            <w:tr w:rsidR="00E17766" w:rsidTr="00EA0947">
              <w:tc>
                <w:tcPr>
                  <w:tcW w:w="0" w:type="auto"/>
                  <w:tcBorders>
                    <w:top w:val="single" w:sz="4" w:space="0" w:color="auto"/>
                  </w:tcBorders>
                  <w:tcMar>
                    <w:top w:w="100" w:type="dxa"/>
                    <w:left w:w="100" w:type="dxa"/>
                    <w:bottom w:w="100" w:type="dxa"/>
                    <w:right w:w="100" w:type="dxa"/>
                  </w:tcMar>
                </w:tcPr>
                <w:p w:rsidR="00E17766" w:rsidRDefault="00E17766" w:rsidP="00E17766">
                  <w:pPr>
                    <w:pStyle w:val="NormalWeb"/>
                    <w:spacing w:before="0" w:beforeAutospacing="0" w:after="0" w:afterAutospacing="0"/>
                    <w:rPr>
                      <w:rFonts w:ascii="Arial" w:hAnsi="Arial" w:cs="Arial"/>
                      <w:b/>
                      <w:bCs/>
                      <w:color w:val="000000"/>
                      <w:sz w:val="20"/>
                      <w:szCs w:val="20"/>
                    </w:rPr>
                  </w:pPr>
                </w:p>
              </w:tc>
              <w:tc>
                <w:tcPr>
                  <w:tcW w:w="0" w:type="auto"/>
                  <w:tcBorders>
                    <w:top w:val="single" w:sz="4" w:space="0" w:color="auto"/>
                  </w:tcBorders>
                  <w:tcMar>
                    <w:top w:w="100" w:type="dxa"/>
                    <w:left w:w="100" w:type="dxa"/>
                    <w:bottom w:w="100" w:type="dxa"/>
                    <w:right w:w="100" w:type="dxa"/>
                  </w:tcMar>
                </w:tcPr>
                <w:p w:rsidR="00E17766" w:rsidRDefault="00E17766" w:rsidP="00E17766">
                  <w:pPr>
                    <w:pStyle w:val="NormalWeb"/>
                    <w:spacing w:before="0" w:beforeAutospacing="0" w:after="0" w:afterAutospacing="0"/>
                    <w:rPr>
                      <w:rFonts w:ascii="Arial" w:hAnsi="Arial" w:cs="Arial"/>
                      <w:color w:val="980000"/>
                      <w:sz w:val="20"/>
                      <w:szCs w:val="20"/>
                    </w:rPr>
                  </w:pPr>
                </w:p>
              </w:tc>
            </w:tr>
          </w:tbl>
          <w:p w:rsidR="00E17766" w:rsidRPr="00E17766" w:rsidRDefault="00E17766" w:rsidP="00E17766">
            <w:pPr>
              <w:spacing w:before="360" w:after="80"/>
              <w:outlineLvl w:val="1"/>
              <w:rPr>
                <w:rFonts w:ascii="Times New Roman" w:eastAsia="Times New Roman" w:hAnsi="Times New Roman" w:cs="Times New Roman"/>
                <w:b/>
                <w:bCs/>
                <w:sz w:val="36"/>
                <w:szCs w:val="36"/>
                <w:lang w:eastAsia="fr-FR"/>
              </w:rPr>
            </w:pPr>
          </w:p>
        </w:tc>
      </w:tr>
      <w:tr w:rsidR="00E17766" w:rsidRPr="00E17766" w:rsidTr="00E17766">
        <w:trPr>
          <w:trHeight w:val="109"/>
        </w:trPr>
        <w:tc>
          <w:tcPr>
            <w:tcW w:w="0" w:type="auto"/>
            <w:shd w:val="clear" w:color="auto" w:fill="4472C4"/>
            <w:tcMar>
              <w:top w:w="0" w:type="dxa"/>
              <w:left w:w="108" w:type="dxa"/>
              <w:bottom w:w="0" w:type="dxa"/>
              <w:right w:w="108" w:type="dxa"/>
            </w:tcMar>
            <w:hideMark/>
          </w:tcPr>
          <w:p w:rsidR="00E17766" w:rsidRPr="00EA0947" w:rsidRDefault="00E17766" w:rsidP="00EA0947">
            <w:pPr>
              <w:pStyle w:val="Paragraphedeliste"/>
              <w:numPr>
                <w:ilvl w:val="0"/>
                <w:numId w:val="8"/>
              </w:numPr>
              <w:textAlignment w:val="baseline"/>
              <w:rPr>
                <w:rFonts w:ascii="Calibri" w:eastAsia="Times New Roman" w:hAnsi="Calibri" w:cs="Calibri"/>
                <w:b/>
                <w:bCs/>
                <w:color w:val="000000"/>
                <w:lang w:eastAsia="fr-FR"/>
              </w:rPr>
            </w:pPr>
            <w:bookmarkStart w:id="0" w:name="_GoBack"/>
            <w:bookmarkEnd w:id="0"/>
            <w:r w:rsidRPr="00EA0947">
              <w:rPr>
                <w:rFonts w:ascii="Calibri" w:eastAsia="Times New Roman" w:hAnsi="Calibri" w:cs="Calibri"/>
                <w:b/>
                <w:bCs/>
                <w:color w:val="FFFFFF"/>
                <w:lang w:eastAsia="fr-FR"/>
              </w:rPr>
              <w:t>Contexte et Présentation problématique</w:t>
            </w:r>
          </w:p>
        </w:tc>
      </w:tr>
      <w:tr w:rsidR="00E17766" w:rsidRPr="00E17766" w:rsidTr="00E17766">
        <w:trPr>
          <w:trHeight w:val="3508"/>
        </w:trPr>
        <w:tc>
          <w:tcPr>
            <w:tcW w:w="0" w:type="auto"/>
            <w:tcMar>
              <w:top w:w="0" w:type="dxa"/>
              <w:left w:w="108" w:type="dxa"/>
              <w:bottom w:w="0" w:type="dxa"/>
              <w:right w:w="108" w:type="dxa"/>
            </w:tcMar>
            <w:hideMark/>
          </w:tcPr>
          <w:p w:rsidR="00E17766" w:rsidRPr="00E17766" w:rsidRDefault="00E17766" w:rsidP="00E17766">
            <w:pPr>
              <w:rPr>
                <w:rFonts w:ascii="Times New Roman" w:eastAsia="Times New Roman" w:hAnsi="Times New Roman" w:cs="Times New Roman"/>
                <w:lang w:eastAsia="fr-FR"/>
              </w:rPr>
            </w:pPr>
          </w:p>
          <w:p w:rsidR="00E17766" w:rsidRPr="00E17766" w:rsidRDefault="00E17766" w:rsidP="00E17766">
            <w:pPr>
              <w:jc w:val="both"/>
              <w:rPr>
                <w:rFonts w:ascii="Times New Roman" w:eastAsia="Times New Roman" w:hAnsi="Times New Roman" w:cs="Times New Roman"/>
                <w:lang w:eastAsia="fr-FR"/>
              </w:rPr>
            </w:pPr>
            <w:r w:rsidRPr="00E17766">
              <w:rPr>
                <w:rFonts w:ascii="Calibri" w:eastAsia="Times New Roman" w:hAnsi="Calibri" w:cs="Calibri"/>
                <w:color w:val="000000"/>
                <w:sz w:val="23"/>
                <w:szCs w:val="23"/>
                <w:lang w:eastAsia="fr-FR"/>
              </w:rPr>
              <w:t>ILICO dédiée à l’observation et à la compréhension des évolutions du milieu marin côtier et littoral a vocation à contribuer pleinement aux grands enjeux scientifiques et sociétaux associés à celui-ci.</w:t>
            </w:r>
          </w:p>
          <w:p w:rsidR="00E17766" w:rsidRPr="00E17766" w:rsidRDefault="00E17766" w:rsidP="00E17766">
            <w:pPr>
              <w:jc w:val="both"/>
              <w:rPr>
                <w:rFonts w:ascii="Times New Roman" w:eastAsia="Times New Roman" w:hAnsi="Times New Roman" w:cs="Times New Roman"/>
                <w:lang w:eastAsia="fr-FR"/>
              </w:rPr>
            </w:pPr>
            <w:r w:rsidRPr="00E17766">
              <w:rPr>
                <w:rFonts w:ascii="Calibri" w:eastAsia="Times New Roman" w:hAnsi="Calibri" w:cs="Calibri"/>
                <w:color w:val="000000"/>
                <w:sz w:val="23"/>
                <w:szCs w:val="23"/>
                <w:lang w:eastAsia="fr-FR"/>
              </w:rPr>
              <w:t xml:space="preserve">Cela se traduit par l’élaboration d’actions/produits/services à destination de la communauté scientifique, de la puissance publique pour la surveillance de l’état du milieu, des acteurs du secteur privé, mais encourage également le développement d’actions auprès de </w:t>
            </w:r>
            <w:r w:rsidRPr="00E17766">
              <w:rPr>
                <w:rFonts w:ascii="Calibri" w:eastAsia="Times New Roman" w:hAnsi="Calibri" w:cs="Calibri"/>
                <w:color w:val="000000"/>
                <w:sz w:val="23"/>
                <w:szCs w:val="23"/>
                <w:u w:val="single"/>
                <w:lang w:eastAsia="fr-FR"/>
              </w:rPr>
              <w:t>la société dans son ensemble</w:t>
            </w:r>
            <w:r w:rsidRPr="00E17766">
              <w:rPr>
                <w:rFonts w:ascii="Calibri" w:eastAsia="Times New Roman" w:hAnsi="Calibri" w:cs="Calibri"/>
                <w:color w:val="000000"/>
                <w:sz w:val="23"/>
                <w:szCs w:val="23"/>
                <w:lang w:eastAsia="fr-FR"/>
              </w:rPr>
              <w:t>, afin de répondre aux questionnements des citoyens, de nourrir le débat public, et de contribuer à la progression des connaissances à travers les sciences participatives. </w:t>
            </w:r>
          </w:p>
          <w:p w:rsidR="00E17766" w:rsidRPr="00E17766" w:rsidRDefault="00E17766" w:rsidP="00E17766">
            <w:pPr>
              <w:jc w:val="both"/>
              <w:rPr>
                <w:rFonts w:ascii="Times New Roman" w:eastAsia="Times New Roman" w:hAnsi="Times New Roman" w:cs="Times New Roman"/>
                <w:lang w:eastAsia="fr-FR"/>
              </w:rPr>
            </w:pPr>
            <w:r w:rsidRPr="00E17766">
              <w:rPr>
                <w:rFonts w:ascii="Calibri" w:eastAsia="Times New Roman" w:hAnsi="Calibri" w:cs="Calibri"/>
                <w:color w:val="000000"/>
                <w:sz w:val="23"/>
                <w:szCs w:val="23"/>
                <w:lang w:eastAsia="fr-FR"/>
              </w:rPr>
              <w:t>[Focus sciences participatives : </w:t>
            </w:r>
          </w:p>
          <w:p w:rsidR="00E17766" w:rsidRPr="00E17766" w:rsidRDefault="00E17766" w:rsidP="00E17766">
            <w:pPr>
              <w:jc w:val="both"/>
              <w:rPr>
                <w:rFonts w:ascii="Times New Roman" w:eastAsia="Times New Roman" w:hAnsi="Times New Roman" w:cs="Times New Roman"/>
                <w:lang w:eastAsia="fr-FR"/>
              </w:rPr>
            </w:pPr>
            <w:r w:rsidRPr="00E17766">
              <w:rPr>
                <w:rFonts w:ascii="Calibri" w:eastAsia="Times New Roman" w:hAnsi="Calibri" w:cs="Calibri"/>
                <w:color w:val="000000"/>
                <w:sz w:val="23"/>
                <w:szCs w:val="23"/>
                <w:lang w:eastAsia="fr-FR"/>
              </w:rPr>
              <w:t xml:space="preserve">La mer et le milieu littoral, en raison de l’attrait naturel qu’ils suscitent, ont favorisé l’émergence de projets incluant la société depuis plus de 40 ans, et un véritable essor est à noter depuis les années 2000, notamment grâce à une prise de conscience écologique et le développement d’outils numériques (smartphone, web2.0, etc.). Le portail </w:t>
            </w:r>
            <w:hyperlink r:id="rId7" w:history="1">
              <w:r w:rsidRPr="00E17766">
                <w:rPr>
                  <w:rFonts w:ascii="Calibri" w:eastAsia="Times New Roman" w:hAnsi="Calibri" w:cs="Calibri"/>
                  <w:color w:val="0563C1"/>
                  <w:sz w:val="23"/>
                  <w:szCs w:val="23"/>
                  <w:u w:val="single"/>
                  <w:lang w:eastAsia="fr-FR"/>
                </w:rPr>
                <w:t>OPEN (observatoires participatifs des espèces et de la nature)</w:t>
              </w:r>
            </w:hyperlink>
            <w:r w:rsidRPr="00E17766">
              <w:rPr>
                <w:rFonts w:ascii="Calibri" w:eastAsia="Times New Roman" w:hAnsi="Calibri" w:cs="Calibri"/>
                <w:color w:val="000000"/>
                <w:sz w:val="23"/>
                <w:szCs w:val="23"/>
                <w:lang w:eastAsia="fr-FR"/>
              </w:rPr>
              <w:t xml:space="preserve"> recense un certain nombre d’initiatives  ouvertes au citoyen et notamment le </w:t>
            </w:r>
            <w:hyperlink r:id="rId8" w:history="1">
              <w:r w:rsidRPr="00E17766">
                <w:rPr>
                  <w:rFonts w:ascii="Calibri" w:eastAsia="Times New Roman" w:hAnsi="Calibri" w:cs="Calibri"/>
                  <w:color w:val="0563C1"/>
                  <w:sz w:val="23"/>
                  <w:szCs w:val="23"/>
                  <w:u w:val="single"/>
                  <w:lang w:eastAsia="fr-FR"/>
                </w:rPr>
                <w:t xml:space="preserve">collectif </w:t>
              </w:r>
              <w:proofErr w:type="spellStart"/>
              <w:r w:rsidRPr="00E17766">
                <w:rPr>
                  <w:rFonts w:ascii="Calibri" w:eastAsia="Times New Roman" w:hAnsi="Calibri" w:cs="Calibri"/>
                  <w:color w:val="0563C1"/>
                  <w:sz w:val="23"/>
                  <w:szCs w:val="23"/>
                  <w:u w:val="single"/>
                  <w:lang w:eastAsia="fr-FR"/>
                </w:rPr>
                <w:t>VigieMer</w:t>
              </w:r>
              <w:proofErr w:type="spellEnd"/>
            </w:hyperlink>
            <w:r w:rsidRPr="00E17766">
              <w:rPr>
                <w:rFonts w:ascii="Calibri" w:eastAsia="Times New Roman" w:hAnsi="Calibri" w:cs="Calibri"/>
                <w:color w:val="000000"/>
                <w:sz w:val="23"/>
                <w:szCs w:val="23"/>
                <w:lang w:eastAsia="fr-FR"/>
              </w:rPr>
              <w:t>, réseau de porteurs de projets de sciences participatives et milieu marin et littoral en France.</w:t>
            </w:r>
          </w:p>
          <w:p w:rsidR="00E17766" w:rsidRPr="00E17766" w:rsidRDefault="00E17766" w:rsidP="00EA0947">
            <w:pPr>
              <w:jc w:val="both"/>
              <w:rPr>
                <w:rFonts w:ascii="Calibri" w:eastAsia="Times New Roman" w:hAnsi="Calibri" w:cs="Calibri"/>
                <w:color w:val="000000"/>
                <w:sz w:val="23"/>
                <w:szCs w:val="23"/>
                <w:lang w:eastAsia="fr-FR"/>
              </w:rPr>
            </w:pPr>
            <w:r w:rsidRPr="00E17766">
              <w:rPr>
                <w:rFonts w:ascii="Calibri" w:eastAsia="Times New Roman" w:hAnsi="Calibri" w:cs="Calibri"/>
                <w:color w:val="000000"/>
                <w:sz w:val="23"/>
                <w:szCs w:val="23"/>
                <w:lang w:eastAsia="fr-FR"/>
              </w:rPr>
              <w:t>On peut noter que ces initiatives induisent, de fait, l’émergence de nouveaux acteurs intermédiaires (associations, groupements, bénévoles) essentiels pour garantir le lien entre différentes communautés et la qualité du cycle de la donnée. On regroupe parfois ces acteurs sous l’appellation « tiers secteur de la recherche », il conviendra donc à cette action de définir des modalités d’accès de l’Action 4 avec ces corps constitués.]</w:t>
            </w:r>
          </w:p>
        </w:tc>
      </w:tr>
      <w:tr w:rsidR="00E17766" w:rsidRPr="00E17766" w:rsidTr="00EA0947">
        <w:tc>
          <w:tcPr>
            <w:tcW w:w="0" w:type="auto"/>
            <w:tcBorders>
              <w:left w:val="single" w:sz="4" w:space="0" w:color="16558C"/>
              <w:right w:val="single" w:sz="4" w:space="0" w:color="16558C"/>
            </w:tcBorders>
            <w:shd w:val="clear" w:color="auto" w:fill="4472C4"/>
            <w:tcMar>
              <w:top w:w="0" w:type="dxa"/>
              <w:left w:w="108" w:type="dxa"/>
              <w:bottom w:w="0" w:type="dxa"/>
              <w:right w:w="108" w:type="dxa"/>
            </w:tcMar>
            <w:hideMark/>
          </w:tcPr>
          <w:p w:rsidR="00E17766" w:rsidRPr="00E17766" w:rsidRDefault="00E17766" w:rsidP="00E17766">
            <w:pPr>
              <w:numPr>
                <w:ilvl w:val="0"/>
                <w:numId w:val="2"/>
              </w:numPr>
              <w:textAlignment w:val="baseline"/>
              <w:rPr>
                <w:rFonts w:ascii="Calibri" w:eastAsia="Times New Roman" w:hAnsi="Calibri" w:cs="Calibri"/>
                <w:b/>
                <w:bCs/>
                <w:color w:val="FFFFFF"/>
                <w:lang w:eastAsia="fr-FR"/>
              </w:rPr>
            </w:pPr>
            <w:r w:rsidRPr="00E17766">
              <w:rPr>
                <w:rFonts w:ascii="Calibri" w:eastAsia="Times New Roman" w:hAnsi="Calibri" w:cs="Calibri"/>
                <w:b/>
                <w:bCs/>
                <w:color w:val="FFFFFF"/>
                <w:lang w:eastAsia="fr-FR"/>
              </w:rPr>
              <w:t>Objectifs de l’Action 4 :</w:t>
            </w:r>
          </w:p>
        </w:tc>
      </w:tr>
      <w:tr w:rsidR="00E17766" w:rsidRPr="00E17766" w:rsidTr="00EA0947">
        <w:trPr>
          <w:trHeight w:val="2608"/>
        </w:trPr>
        <w:tc>
          <w:tcPr>
            <w:tcW w:w="0" w:type="auto"/>
            <w:tcMar>
              <w:top w:w="0" w:type="dxa"/>
              <w:left w:w="108" w:type="dxa"/>
              <w:bottom w:w="0" w:type="dxa"/>
              <w:right w:w="108" w:type="dxa"/>
            </w:tcMar>
            <w:hideMark/>
          </w:tcPr>
          <w:p w:rsidR="00EA0947" w:rsidRDefault="00EA0947" w:rsidP="00EA0947">
            <w:pPr>
              <w:jc w:val="both"/>
              <w:rPr>
                <w:rFonts w:ascii="Times New Roman" w:eastAsia="Times New Roman" w:hAnsi="Times New Roman" w:cs="Times New Roman"/>
                <w:lang w:eastAsia="fr-FR"/>
              </w:rPr>
            </w:pPr>
          </w:p>
          <w:p w:rsidR="00EA0947" w:rsidRPr="00E17766" w:rsidRDefault="00EA0947" w:rsidP="00EA0947">
            <w:pPr>
              <w:numPr>
                <w:ilvl w:val="0"/>
                <w:numId w:val="3"/>
              </w:numPr>
              <w:jc w:val="both"/>
              <w:textAlignment w:val="baseline"/>
              <w:rPr>
                <w:rFonts w:ascii="Calibri" w:eastAsia="Times New Roman" w:hAnsi="Calibri" w:cs="Calibri"/>
                <w:i/>
                <w:iCs/>
                <w:color w:val="595959"/>
                <w:sz w:val="22"/>
                <w:szCs w:val="22"/>
                <w:lang w:eastAsia="fr-FR"/>
              </w:rPr>
            </w:pPr>
            <w:r w:rsidRPr="00E17766">
              <w:rPr>
                <w:rFonts w:ascii="Calibri" w:eastAsia="Times New Roman" w:hAnsi="Calibri" w:cs="Calibri"/>
                <w:i/>
                <w:iCs/>
                <w:color w:val="595959"/>
                <w:sz w:val="22"/>
                <w:szCs w:val="22"/>
                <w:lang w:eastAsia="fr-FR"/>
              </w:rPr>
              <w:t>(INFORMER : communiquer largement sur les actions d’ILICO en empruntant des canaux de diffusion variés pour toucher un large public : presse, réseaux sociaux, site web, événements, etc. en France voire à l’international. Cet objectif sera assuré en partie par l’Action 9)</w:t>
            </w:r>
          </w:p>
          <w:p w:rsidR="00EA0947" w:rsidRPr="00E17766" w:rsidRDefault="00EA0947" w:rsidP="00EA0947">
            <w:pPr>
              <w:numPr>
                <w:ilvl w:val="0"/>
                <w:numId w:val="3"/>
              </w:numPr>
              <w:jc w:val="both"/>
              <w:textAlignment w:val="baseline"/>
              <w:rPr>
                <w:rFonts w:ascii="Calibri" w:eastAsia="Times New Roman" w:hAnsi="Calibri" w:cs="Calibri"/>
                <w:color w:val="000000"/>
                <w:sz w:val="22"/>
                <w:szCs w:val="22"/>
                <w:lang w:eastAsia="fr-FR"/>
              </w:rPr>
            </w:pPr>
            <w:r w:rsidRPr="00E17766">
              <w:rPr>
                <w:rFonts w:ascii="Calibri" w:eastAsia="Times New Roman" w:hAnsi="Calibri" w:cs="Calibri"/>
                <w:color w:val="000000"/>
                <w:sz w:val="22"/>
                <w:szCs w:val="22"/>
                <w:lang w:eastAsia="fr-FR"/>
              </w:rPr>
              <w:t xml:space="preserve">SENSIBILISER : Rendre les enjeux des sciences de l’océan côtier et du littoral accessibles à divers publics (interventions en milieu scolaire, collectivités territoriales, gestionnaires de territoire, manifestations et expositions culturelles, outils de réalité virtuelle, </w:t>
            </w:r>
            <w:proofErr w:type="gramStart"/>
            <w:r w:rsidRPr="00E17766">
              <w:rPr>
                <w:rFonts w:ascii="Calibri" w:eastAsia="Times New Roman" w:hAnsi="Calibri" w:cs="Calibri"/>
                <w:color w:val="000000"/>
                <w:sz w:val="22"/>
                <w:szCs w:val="22"/>
                <w:lang w:eastAsia="fr-FR"/>
              </w:rPr>
              <w:t>etc. )</w:t>
            </w:r>
            <w:proofErr w:type="gramEnd"/>
          </w:p>
          <w:p w:rsidR="00EA0947" w:rsidRPr="00E17766" w:rsidRDefault="00EA0947" w:rsidP="00EA0947">
            <w:pPr>
              <w:numPr>
                <w:ilvl w:val="0"/>
                <w:numId w:val="3"/>
              </w:numPr>
              <w:jc w:val="both"/>
              <w:textAlignment w:val="baseline"/>
              <w:rPr>
                <w:rFonts w:ascii="Calibri" w:eastAsia="Times New Roman" w:hAnsi="Calibri" w:cs="Calibri"/>
                <w:i/>
                <w:iCs/>
                <w:color w:val="595959"/>
                <w:sz w:val="22"/>
                <w:szCs w:val="22"/>
                <w:lang w:eastAsia="fr-FR"/>
              </w:rPr>
            </w:pPr>
            <w:r w:rsidRPr="00E17766">
              <w:rPr>
                <w:rFonts w:ascii="Calibri" w:eastAsia="Times New Roman" w:hAnsi="Calibri" w:cs="Calibri"/>
                <w:i/>
                <w:iCs/>
                <w:color w:val="595959"/>
                <w:sz w:val="22"/>
                <w:szCs w:val="22"/>
                <w:lang w:eastAsia="fr-FR"/>
              </w:rPr>
              <w:t>(FORMER : Créer des dispositifs de médiations innovants en liens avec les milieux associatifs et culturels (module à destination des enseignants, petits débrouillards, etc. Cet objectif sera assuré en concertation avec l’Action 10)) </w:t>
            </w:r>
          </w:p>
          <w:p w:rsidR="00EA0947" w:rsidRPr="00EA0947" w:rsidRDefault="00EA0947" w:rsidP="00EA0947">
            <w:pPr>
              <w:numPr>
                <w:ilvl w:val="0"/>
                <w:numId w:val="3"/>
              </w:numPr>
              <w:jc w:val="both"/>
              <w:textAlignment w:val="baseline"/>
              <w:rPr>
                <w:rFonts w:ascii="Calibri" w:eastAsia="Times New Roman" w:hAnsi="Calibri" w:cs="Calibri"/>
                <w:color w:val="000000"/>
                <w:sz w:val="22"/>
                <w:szCs w:val="22"/>
                <w:lang w:eastAsia="fr-FR"/>
              </w:rPr>
            </w:pPr>
            <w:r w:rsidRPr="00E17766">
              <w:rPr>
                <w:rFonts w:ascii="Calibri" w:eastAsia="Times New Roman" w:hAnsi="Calibri" w:cs="Calibri"/>
                <w:color w:val="000000"/>
                <w:sz w:val="22"/>
                <w:szCs w:val="22"/>
                <w:lang w:eastAsia="fr-FR"/>
              </w:rPr>
              <w:t>IMPLIQUER : à travers la promotion de ses programmes de sciences participatives, favoriser l’émergence d’une génération de citoyens éclairés, formés au discours scientifiques, désireux de contribuer à l’avancée des connaissances dans le domaine de l’océan côtier et du littoral</w:t>
            </w:r>
          </w:p>
        </w:tc>
      </w:tr>
      <w:tr w:rsidR="00E17766" w:rsidRPr="00E17766" w:rsidTr="00EA0947">
        <w:tc>
          <w:tcPr>
            <w:tcW w:w="0" w:type="auto"/>
            <w:tcBorders>
              <w:left w:val="single" w:sz="4" w:space="0" w:color="16558C"/>
              <w:right w:val="single" w:sz="4" w:space="0" w:color="16558C"/>
            </w:tcBorders>
            <w:shd w:val="clear" w:color="auto" w:fill="4472C4"/>
            <w:tcMar>
              <w:top w:w="0" w:type="dxa"/>
              <w:left w:w="108" w:type="dxa"/>
              <w:bottom w:w="0" w:type="dxa"/>
              <w:right w:w="108" w:type="dxa"/>
            </w:tcMar>
            <w:hideMark/>
          </w:tcPr>
          <w:p w:rsidR="00E17766" w:rsidRPr="00EA0947" w:rsidRDefault="00E17766" w:rsidP="00EA0947">
            <w:pPr>
              <w:pStyle w:val="Paragraphedeliste"/>
              <w:numPr>
                <w:ilvl w:val="0"/>
                <w:numId w:val="2"/>
              </w:numPr>
              <w:textAlignment w:val="baseline"/>
              <w:rPr>
                <w:rFonts w:ascii="Calibri" w:eastAsia="Times New Roman" w:hAnsi="Calibri" w:cs="Calibri"/>
                <w:color w:val="000000"/>
                <w:sz w:val="22"/>
                <w:szCs w:val="22"/>
                <w:lang w:eastAsia="fr-FR"/>
              </w:rPr>
            </w:pPr>
            <w:r w:rsidRPr="00EA0947">
              <w:rPr>
                <w:rFonts w:ascii="Calibri" w:eastAsia="Times New Roman" w:hAnsi="Calibri" w:cs="Calibri"/>
                <w:b/>
                <w:bCs/>
                <w:color w:val="FFFFFF"/>
                <w:lang w:eastAsia="fr-FR"/>
              </w:rPr>
              <w:lastRenderedPageBreak/>
              <w:t>Questions au groupe Action 4 : </w:t>
            </w:r>
          </w:p>
        </w:tc>
      </w:tr>
      <w:tr w:rsidR="00E17766" w:rsidRPr="00E17766" w:rsidTr="00EA0947">
        <w:trPr>
          <w:trHeight w:val="1546"/>
        </w:trPr>
        <w:tc>
          <w:tcPr>
            <w:tcW w:w="0" w:type="auto"/>
            <w:tcMar>
              <w:top w:w="0" w:type="dxa"/>
              <w:left w:w="108" w:type="dxa"/>
              <w:bottom w:w="0" w:type="dxa"/>
              <w:right w:w="108" w:type="dxa"/>
            </w:tcMar>
            <w:hideMark/>
          </w:tcPr>
          <w:p w:rsidR="00EA0947" w:rsidRPr="00E17766" w:rsidRDefault="00EA0947" w:rsidP="00EA0947">
            <w:pPr>
              <w:numPr>
                <w:ilvl w:val="0"/>
                <w:numId w:val="5"/>
              </w:numPr>
              <w:jc w:val="both"/>
              <w:textAlignment w:val="baseline"/>
              <w:rPr>
                <w:rFonts w:ascii="Calibri" w:eastAsia="Times New Roman" w:hAnsi="Calibri" w:cs="Calibri"/>
                <w:color w:val="000000"/>
                <w:sz w:val="22"/>
                <w:szCs w:val="22"/>
                <w:lang w:eastAsia="fr-FR"/>
              </w:rPr>
            </w:pPr>
            <w:r w:rsidRPr="00E17766">
              <w:rPr>
                <w:rFonts w:ascii="Calibri" w:eastAsia="Times New Roman" w:hAnsi="Calibri" w:cs="Calibri"/>
                <w:color w:val="000000"/>
                <w:sz w:val="22"/>
                <w:szCs w:val="22"/>
                <w:lang w:eastAsia="fr-FR"/>
              </w:rPr>
              <w:t>Comment partager un état des lieux des actions sciences en société au sein de la communauté ILICO ?</w:t>
            </w:r>
          </w:p>
          <w:p w:rsidR="00EA0947" w:rsidRPr="00E17766" w:rsidRDefault="00EA0947" w:rsidP="00EA0947">
            <w:pPr>
              <w:numPr>
                <w:ilvl w:val="0"/>
                <w:numId w:val="5"/>
              </w:numPr>
              <w:jc w:val="both"/>
              <w:textAlignment w:val="baseline"/>
              <w:rPr>
                <w:rFonts w:ascii="Calibri" w:eastAsia="Times New Roman" w:hAnsi="Calibri" w:cs="Calibri"/>
                <w:color w:val="000000"/>
                <w:sz w:val="22"/>
                <w:szCs w:val="22"/>
                <w:lang w:eastAsia="fr-FR"/>
              </w:rPr>
            </w:pPr>
            <w:r w:rsidRPr="00E17766">
              <w:rPr>
                <w:rFonts w:ascii="Calibri" w:eastAsia="Times New Roman" w:hAnsi="Calibri" w:cs="Calibri"/>
                <w:color w:val="000000"/>
                <w:sz w:val="22"/>
                <w:szCs w:val="22"/>
                <w:lang w:eastAsia="fr-FR"/>
              </w:rPr>
              <w:t>Des actions sciences en société doivent-elles être portées au nom d’ILICO ?</w:t>
            </w:r>
          </w:p>
          <w:p w:rsidR="00EA0947" w:rsidRDefault="00EA0947" w:rsidP="00EA0947">
            <w:pPr>
              <w:numPr>
                <w:ilvl w:val="0"/>
                <w:numId w:val="5"/>
              </w:numPr>
              <w:jc w:val="both"/>
              <w:textAlignment w:val="baseline"/>
              <w:rPr>
                <w:rFonts w:ascii="Calibri" w:eastAsia="Times New Roman" w:hAnsi="Calibri" w:cs="Calibri"/>
                <w:color w:val="000000"/>
                <w:sz w:val="22"/>
                <w:szCs w:val="22"/>
                <w:lang w:eastAsia="fr-FR"/>
              </w:rPr>
            </w:pPr>
            <w:r w:rsidRPr="00E17766">
              <w:rPr>
                <w:rFonts w:ascii="Calibri" w:eastAsia="Times New Roman" w:hAnsi="Calibri" w:cs="Calibri"/>
                <w:color w:val="000000"/>
                <w:sz w:val="22"/>
                <w:szCs w:val="22"/>
                <w:lang w:eastAsia="fr-FR"/>
              </w:rPr>
              <w:t>Quelles pourraient être les initiatives prioritaires ?</w:t>
            </w:r>
          </w:p>
          <w:p w:rsidR="00E17766" w:rsidRPr="00E17766" w:rsidRDefault="00E17766" w:rsidP="00EA0947">
            <w:pPr>
              <w:jc w:val="both"/>
              <w:textAlignment w:val="baseline"/>
              <w:rPr>
                <w:rFonts w:ascii="Times New Roman" w:eastAsia="Times New Roman" w:hAnsi="Times New Roman" w:cs="Times New Roman"/>
                <w:lang w:eastAsia="fr-FR"/>
              </w:rPr>
            </w:pPr>
          </w:p>
        </w:tc>
      </w:tr>
      <w:tr w:rsidR="00E17766" w:rsidRPr="00E17766" w:rsidTr="00EA0947">
        <w:tc>
          <w:tcPr>
            <w:tcW w:w="0" w:type="auto"/>
            <w:tcBorders>
              <w:left w:val="single" w:sz="4" w:space="0" w:color="16558C"/>
              <w:right w:val="single" w:sz="4" w:space="0" w:color="16558C"/>
            </w:tcBorders>
            <w:shd w:val="clear" w:color="auto" w:fill="4472C4"/>
            <w:tcMar>
              <w:top w:w="0" w:type="dxa"/>
              <w:left w:w="108" w:type="dxa"/>
              <w:bottom w:w="0" w:type="dxa"/>
              <w:right w:w="108" w:type="dxa"/>
            </w:tcMar>
            <w:hideMark/>
          </w:tcPr>
          <w:p w:rsidR="00E17766" w:rsidRPr="00E17766" w:rsidRDefault="00E17766" w:rsidP="00E17766">
            <w:pPr>
              <w:numPr>
                <w:ilvl w:val="0"/>
                <w:numId w:val="6"/>
              </w:numPr>
              <w:textAlignment w:val="baseline"/>
              <w:rPr>
                <w:rFonts w:ascii="Calibri" w:eastAsia="Times New Roman" w:hAnsi="Calibri" w:cs="Calibri"/>
                <w:b/>
                <w:bCs/>
                <w:color w:val="FFFFFF"/>
                <w:lang w:eastAsia="fr-FR"/>
              </w:rPr>
            </w:pPr>
            <w:r w:rsidRPr="00E17766">
              <w:rPr>
                <w:rFonts w:ascii="Calibri" w:eastAsia="Times New Roman" w:hAnsi="Calibri" w:cs="Calibri"/>
                <w:b/>
                <w:bCs/>
                <w:color w:val="FFFFFF"/>
                <w:lang w:eastAsia="fr-FR"/>
              </w:rPr>
              <w:t>Références – Document</w:t>
            </w:r>
            <w:r w:rsidR="00EA0947">
              <w:rPr>
                <w:rFonts w:ascii="Calibri" w:eastAsia="Times New Roman" w:hAnsi="Calibri" w:cs="Calibri"/>
                <w:b/>
                <w:bCs/>
                <w:color w:val="FFFFFF"/>
                <w:lang w:eastAsia="fr-FR"/>
              </w:rPr>
              <w:t>ations</w:t>
            </w:r>
          </w:p>
        </w:tc>
      </w:tr>
      <w:tr w:rsidR="00E17766" w:rsidRPr="00E17766" w:rsidTr="00EA0947">
        <w:trPr>
          <w:trHeight w:val="1142"/>
        </w:trPr>
        <w:tc>
          <w:tcPr>
            <w:tcW w:w="0" w:type="auto"/>
            <w:tcMar>
              <w:top w:w="0" w:type="dxa"/>
              <w:left w:w="108" w:type="dxa"/>
              <w:bottom w:w="0" w:type="dxa"/>
              <w:right w:w="108" w:type="dxa"/>
            </w:tcMar>
            <w:hideMark/>
          </w:tcPr>
          <w:p w:rsidR="00EA0947" w:rsidRDefault="00EA0947" w:rsidP="00EA0947">
            <w:pPr>
              <w:numPr>
                <w:ilvl w:val="0"/>
                <w:numId w:val="7"/>
              </w:numPr>
              <w:jc w:val="both"/>
              <w:textAlignment w:val="baseline"/>
              <w:rPr>
                <w:rFonts w:ascii="Calibri" w:eastAsia="Times New Roman" w:hAnsi="Calibri" w:cs="Calibri"/>
                <w:color w:val="000000"/>
                <w:sz w:val="22"/>
                <w:szCs w:val="22"/>
                <w:lang w:eastAsia="fr-FR"/>
              </w:rPr>
            </w:pPr>
            <w:hyperlink r:id="rId9" w:history="1">
              <w:r w:rsidRPr="00E17766">
                <w:rPr>
                  <w:rFonts w:ascii="Calibri" w:eastAsia="Times New Roman" w:hAnsi="Calibri" w:cs="Calibri"/>
                  <w:color w:val="000000"/>
                  <w:sz w:val="22"/>
                  <w:szCs w:val="22"/>
                  <w:u w:val="single"/>
                  <w:lang w:eastAsia="fr-FR"/>
                </w:rPr>
                <w:t>Document de cadrage stratégique ILICO</w:t>
              </w:r>
            </w:hyperlink>
            <w:r w:rsidRPr="00E17766">
              <w:rPr>
                <w:rFonts w:ascii="Calibri" w:eastAsia="Times New Roman" w:hAnsi="Calibri" w:cs="Calibri"/>
                <w:color w:val="000000"/>
                <w:sz w:val="22"/>
                <w:szCs w:val="22"/>
                <w:lang w:eastAsia="fr-FR"/>
              </w:rPr>
              <w:t>, 2019 </w:t>
            </w:r>
          </w:p>
          <w:p w:rsidR="00EA0947" w:rsidRPr="00E17766" w:rsidRDefault="00EA0947" w:rsidP="00EA0947">
            <w:pPr>
              <w:numPr>
                <w:ilvl w:val="0"/>
                <w:numId w:val="7"/>
              </w:numPr>
              <w:jc w:val="both"/>
              <w:textAlignment w:val="baseline"/>
              <w:rPr>
                <w:rFonts w:ascii="Calibri" w:eastAsia="Times New Roman" w:hAnsi="Calibri" w:cs="Calibri"/>
                <w:color w:val="000000"/>
                <w:sz w:val="22"/>
                <w:szCs w:val="22"/>
                <w:lang w:eastAsia="fr-FR"/>
              </w:rPr>
            </w:pPr>
            <w:r w:rsidRPr="00E17766">
              <w:rPr>
                <w:rFonts w:ascii="Calibri" w:eastAsia="Times New Roman" w:hAnsi="Calibri" w:cs="Calibri"/>
                <w:color w:val="000000"/>
                <w:sz w:val="22"/>
                <w:szCs w:val="22"/>
                <w:lang w:eastAsia="fr-FR"/>
              </w:rPr>
              <w:t>Actions sciences en société de l’Ifremer, 2020</w:t>
            </w:r>
          </w:p>
          <w:p w:rsidR="00E17766" w:rsidRPr="00E17766" w:rsidRDefault="00E17766" w:rsidP="00EA0947">
            <w:pPr>
              <w:jc w:val="both"/>
              <w:textAlignment w:val="baseline"/>
              <w:rPr>
                <w:rFonts w:ascii="Calibri" w:eastAsia="Times New Roman" w:hAnsi="Calibri" w:cs="Calibri"/>
                <w:color w:val="000000"/>
                <w:sz w:val="20"/>
                <w:szCs w:val="20"/>
                <w:lang w:eastAsia="fr-FR"/>
              </w:rPr>
            </w:pPr>
          </w:p>
        </w:tc>
      </w:tr>
    </w:tbl>
    <w:p w:rsidR="00B87A31" w:rsidRDefault="00B87A31"/>
    <w:sectPr w:rsidR="00B87A31" w:rsidSect="004F6722">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5C7" w:rsidRDefault="006055C7" w:rsidP="00E17766">
      <w:r>
        <w:separator/>
      </w:r>
    </w:p>
  </w:endnote>
  <w:endnote w:type="continuationSeparator" w:id="0">
    <w:p w:rsidR="006055C7" w:rsidRDefault="006055C7" w:rsidP="00E1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5C7" w:rsidRDefault="006055C7" w:rsidP="00E17766">
      <w:r>
        <w:separator/>
      </w:r>
    </w:p>
  </w:footnote>
  <w:footnote w:type="continuationSeparator" w:id="0">
    <w:p w:rsidR="006055C7" w:rsidRDefault="006055C7" w:rsidP="00E17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766" w:rsidRDefault="00E17766">
    <w:pPr>
      <w:pStyle w:val="En-tte"/>
    </w:pPr>
    <w:r>
      <w:rPr>
        <w:noProof/>
      </w:rPr>
      <w:drawing>
        <wp:inline distT="0" distB="0" distL="0" distR="0">
          <wp:extent cx="1366463" cy="687786"/>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lico.png"/>
                  <pic:cNvPicPr/>
                </pic:nvPicPr>
                <pic:blipFill>
                  <a:blip r:embed="rId1">
                    <a:extLst>
                      <a:ext uri="{28A0092B-C50C-407E-A947-70E740481C1C}">
                        <a14:useLocalDpi xmlns:a14="http://schemas.microsoft.com/office/drawing/2010/main" val="0"/>
                      </a:ext>
                    </a:extLst>
                  </a:blip>
                  <a:stretch>
                    <a:fillRect/>
                  </a:stretch>
                </pic:blipFill>
                <pic:spPr>
                  <a:xfrm>
                    <a:off x="0" y="0"/>
                    <a:ext cx="1368103" cy="688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5AE4"/>
    <w:multiLevelType w:val="multilevel"/>
    <w:tmpl w:val="5AA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91748"/>
    <w:multiLevelType w:val="hybridMultilevel"/>
    <w:tmpl w:val="F6E2058C"/>
    <w:lvl w:ilvl="0" w:tplc="43B61560">
      <w:start w:val="2"/>
      <w:numFmt w:val="upperLetter"/>
      <w:lvlText w:val="%1."/>
      <w:lvlJc w:val="left"/>
      <w:pPr>
        <w:tabs>
          <w:tab w:val="num" w:pos="720"/>
        </w:tabs>
        <w:ind w:left="720" w:hanging="360"/>
      </w:pPr>
      <w:rPr>
        <w:b/>
        <w:color w:val="FFFFFF" w:themeColor="background1"/>
      </w:rPr>
    </w:lvl>
    <w:lvl w:ilvl="1" w:tplc="898663E0" w:tentative="1">
      <w:start w:val="1"/>
      <w:numFmt w:val="decimal"/>
      <w:lvlText w:val="%2."/>
      <w:lvlJc w:val="left"/>
      <w:pPr>
        <w:tabs>
          <w:tab w:val="num" w:pos="1440"/>
        </w:tabs>
        <w:ind w:left="1440" w:hanging="360"/>
      </w:pPr>
    </w:lvl>
    <w:lvl w:ilvl="2" w:tplc="20420A9A" w:tentative="1">
      <w:start w:val="1"/>
      <w:numFmt w:val="decimal"/>
      <w:lvlText w:val="%3."/>
      <w:lvlJc w:val="left"/>
      <w:pPr>
        <w:tabs>
          <w:tab w:val="num" w:pos="2160"/>
        </w:tabs>
        <w:ind w:left="2160" w:hanging="360"/>
      </w:pPr>
    </w:lvl>
    <w:lvl w:ilvl="3" w:tplc="F52C47D2" w:tentative="1">
      <w:start w:val="1"/>
      <w:numFmt w:val="decimal"/>
      <w:lvlText w:val="%4."/>
      <w:lvlJc w:val="left"/>
      <w:pPr>
        <w:tabs>
          <w:tab w:val="num" w:pos="2880"/>
        </w:tabs>
        <w:ind w:left="2880" w:hanging="360"/>
      </w:pPr>
    </w:lvl>
    <w:lvl w:ilvl="4" w:tplc="A44C702A" w:tentative="1">
      <w:start w:val="1"/>
      <w:numFmt w:val="decimal"/>
      <w:lvlText w:val="%5."/>
      <w:lvlJc w:val="left"/>
      <w:pPr>
        <w:tabs>
          <w:tab w:val="num" w:pos="3600"/>
        </w:tabs>
        <w:ind w:left="3600" w:hanging="360"/>
      </w:pPr>
    </w:lvl>
    <w:lvl w:ilvl="5" w:tplc="8D8A7178" w:tentative="1">
      <w:start w:val="1"/>
      <w:numFmt w:val="decimal"/>
      <w:lvlText w:val="%6."/>
      <w:lvlJc w:val="left"/>
      <w:pPr>
        <w:tabs>
          <w:tab w:val="num" w:pos="4320"/>
        </w:tabs>
        <w:ind w:left="4320" w:hanging="360"/>
      </w:pPr>
    </w:lvl>
    <w:lvl w:ilvl="6" w:tplc="7454582A" w:tentative="1">
      <w:start w:val="1"/>
      <w:numFmt w:val="decimal"/>
      <w:lvlText w:val="%7."/>
      <w:lvlJc w:val="left"/>
      <w:pPr>
        <w:tabs>
          <w:tab w:val="num" w:pos="5040"/>
        </w:tabs>
        <w:ind w:left="5040" w:hanging="360"/>
      </w:pPr>
    </w:lvl>
    <w:lvl w:ilvl="7" w:tplc="CBDEC30E" w:tentative="1">
      <w:start w:val="1"/>
      <w:numFmt w:val="decimal"/>
      <w:lvlText w:val="%8."/>
      <w:lvlJc w:val="left"/>
      <w:pPr>
        <w:tabs>
          <w:tab w:val="num" w:pos="5760"/>
        </w:tabs>
        <w:ind w:left="5760" w:hanging="360"/>
      </w:pPr>
    </w:lvl>
    <w:lvl w:ilvl="8" w:tplc="629A319C" w:tentative="1">
      <w:start w:val="1"/>
      <w:numFmt w:val="decimal"/>
      <w:lvlText w:val="%9."/>
      <w:lvlJc w:val="left"/>
      <w:pPr>
        <w:tabs>
          <w:tab w:val="num" w:pos="6480"/>
        </w:tabs>
        <w:ind w:left="6480" w:hanging="360"/>
      </w:pPr>
    </w:lvl>
  </w:abstractNum>
  <w:abstractNum w:abstractNumId="2" w15:restartNumberingAfterBreak="0">
    <w:nsid w:val="3AE77905"/>
    <w:multiLevelType w:val="hybridMultilevel"/>
    <w:tmpl w:val="090ED624"/>
    <w:lvl w:ilvl="0" w:tplc="CB38B51E">
      <w:start w:val="4"/>
      <w:numFmt w:val="upperLetter"/>
      <w:lvlText w:val="%1."/>
      <w:lvlJc w:val="left"/>
      <w:pPr>
        <w:tabs>
          <w:tab w:val="num" w:pos="720"/>
        </w:tabs>
        <w:ind w:left="720" w:hanging="360"/>
      </w:pPr>
    </w:lvl>
    <w:lvl w:ilvl="1" w:tplc="B51A1EDA" w:tentative="1">
      <w:start w:val="1"/>
      <w:numFmt w:val="decimal"/>
      <w:lvlText w:val="%2."/>
      <w:lvlJc w:val="left"/>
      <w:pPr>
        <w:tabs>
          <w:tab w:val="num" w:pos="1440"/>
        </w:tabs>
        <w:ind w:left="1440" w:hanging="360"/>
      </w:pPr>
    </w:lvl>
    <w:lvl w:ilvl="2" w:tplc="E49A9F06" w:tentative="1">
      <w:start w:val="1"/>
      <w:numFmt w:val="decimal"/>
      <w:lvlText w:val="%3."/>
      <w:lvlJc w:val="left"/>
      <w:pPr>
        <w:tabs>
          <w:tab w:val="num" w:pos="2160"/>
        </w:tabs>
        <w:ind w:left="2160" w:hanging="360"/>
      </w:pPr>
    </w:lvl>
    <w:lvl w:ilvl="3" w:tplc="48FEAA16" w:tentative="1">
      <w:start w:val="1"/>
      <w:numFmt w:val="decimal"/>
      <w:lvlText w:val="%4."/>
      <w:lvlJc w:val="left"/>
      <w:pPr>
        <w:tabs>
          <w:tab w:val="num" w:pos="2880"/>
        </w:tabs>
        <w:ind w:left="2880" w:hanging="360"/>
      </w:pPr>
    </w:lvl>
    <w:lvl w:ilvl="4" w:tplc="A9E4F8FE" w:tentative="1">
      <w:start w:val="1"/>
      <w:numFmt w:val="decimal"/>
      <w:lvlText w:val="%5."/>
      <w:lvlJc w:val="left"/>
      <w:pPr>
        <w:tabs>
          <w:tab w:val="num" w:pos="3600"/>
        </w:tabs>
        <w:ind w:left="3600" w:hanging="360"/>
      </w:pPr>
    </w:lvl>
    <w:lvl w:ilvl="5" w:tplc="AAB6BDF6" w:tentative="1">
      <w:start w:val="1"/>
      <w:numFmt w:val="decimal"/>
      <w:lvlText w:val="%6."/>
      <w:lvlJc w:val="left"/>
      <w:pPr>
        <w:tabs>
          <w:tab w:val="num" w:pos="4320"/>
        </w:tabs>
        <w:ind w:left="4320" w:hanging="360"/>
      </w:pPr>
    </w:lvl>
    <w:lvl w:ilvl="6" w:tplc="0C323BFC" w:tentative="1">
      <w:start w:val="1"/>
      <w:numFmt w:val="decimal"/>
      <w:lvlText w:val="%7."/>
      <w:lvlJc w:val="left"/>
      <w:pPr>
        <w:tabs>
          <w:tab w:val="num" w:pos="5040"/>
        </w:tabs>
        <w:ind w:left="5040" w:hanging="360"/>
      </w:pPr>
    </w:lvl>
    <w:lvl w:ilvl="7" w:tplc="B33815B6" w:tentative="1">
      <w:start w:val="1"/>
      <w:numFmt w:val="decimal"/>
      <w:lvlText w:val="%8."/>
      <w:lvlJc w:val="left"/>
      <w:pPr>
        <w:tabs>
          <w:tab w:val="num" w:pos="5760"/>
        </w:tabs>
        <w:ind w:left="5760" w:hanging="360"/>
      </w:pPr>
    </w:lvl>
    <w:lvl w:ilvl="8" w:tplc="302C84FA" w:tentative="1">
      <w:start w:val="1"/>
      <w:numFmt w:val="decimal"/>
      <w:lvlText w:val="%9."/>
      <w:lvlJc w:val="left"/>
      <w:pPr>
        <w:tabs>
          <w:tab w:val="num" w:pos="6480"/>
        </w:tabs>
        <w:ind w:left="6480" w:hanging="360"/>
      </w:pPr>
    </w:lvl>
  </w:abstractNum>
  <w:abstractNum w:abstractNumId="3" w15:restartNumberingAfterBreak="0">
    <w:nsid w:val="40BC3107"/>
    <w:multiLevelType w:val="multilevel"/>
    <w:tmpl w:val="2C06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97BD5"/>
    <w:multiLevelType w:val="multilevel"/>
    <w:tmpl w:val="BB7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36AB5"/>
    <w:multiLevelType w:val="hybridMultilevel"/>
    <w:tmpl w:val="5E02E126"/>
    <w:lvl w:ilvl="0" w:tplc="8196C8FE">
      <w:start w:val="1"/>
      <w:numFmt w:val="upperLetter"/>
      <w:lvlText w:val="%1."/>
      <w:lvlJc w:val="left"/>
      <w:pPr>
        <w:ind w:left="720" w:hanging="360"/>
      </w:pPr>
      <w:rPr>
        <w:rFonts w:hint="default"/>
        <w:color w:val="FFFF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A17ED7"/>
    <w:multiLevelType w:val="multilevel"/>
    <w:tmpl w:val="9F42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A0BA5"/>
    <w:multiLevelType w:val="hybridMultilevel"/>
    <w:tmpl w:val="CE2C0810"/>
    <w:lvl w:ilvl="0" w:tplc="B982571C">
      <w:start w:val="3"/>
      <w:numFmt w:val="upperLetter"/>
      <w:lvlText w:val="%1."/>
      <w:lvlJc w:val="left"/>
      <w:pPr>
        <w:tabs>
          <w:tab w:val="num" w:pos="720"/>
        </w:tabs>
        <w:ind w:left="720" w:hanging="360"/>
      </w:pPr>
    </w:lvl>
    <w:lvl w:ilvl="1" w:tplc="29784958" w:tentative="1">
      <w:start w:val="1"/>
      <w:numFmt w:val="decimal"/>
      <w:lvlText w:val="%2."/>
      <w:lvlJc w:val="left"/>
      <w:pPr>
        <w:tabs>
          <w:tab w:val="num" w:pos="1440"/>
        </w:tabs>
        <w:ind w:left="1440" w:hanging="360"/>
      </w:pPr>
    </w:lvl>
    <w:lvl w:ilvl="2" w:tplc="17C05EEA" w:tentative="1">
      <w:start w:val="1"/>
      <w:numFmt w:val="decimal"/>
      <w:lvlText w:val="%3."/>
      <w:lvlJc w:val="left"/>
      <w:pPr>
        <w:tabs>
          <w:tab w:val="num" w:pos="2160"/>
        </w:tabs>
        <w:ind w:left="2160" w:hanging="360"/>
      </w:pPr>
    </w:lvl>
    <w:lvl w:ilvl="3" w:tplc="A3E63388" w:tentative="1">
      <w:start w:val="1"/>
      <w:numFmt w:val="decimal"/>
      <w:lvlText w:val="%4."/>
      <w:lvlJc w:val="left"/>
      <w:pPr>
        <w:tabs>
          <w:tab w:val="num" w:pos="2880"/>
        </w:tabs>
        <w:ind w:left="2880" w:hanging="360"/>
      </w:pPr>
    </w:lvl>
    <w:lvl w:ilvl="4" w:tplc="3FC01F64" w:tentative="1">
      <w:start w:val="1"/>
      <w:numFmt w:val="decimal"/>
      <w:lvlText w:val="%5."/>
      <w:lvlJc w:val="left"/>
      <w:pPr>
        <w:tabs>
          <w:tab w:val="num" w:pos="3600"/>
        </w:tabs>
        <w:ind w:left="3600" w:hanging="360"/>
      </w:pPr>
    </w:lvl>
    <w:lvl w:ilvl="5" w:tplc="B2DE7D9E" w:tentative="1">
      <w:start w:val="1"/>
      <w:numFmt w:val="decimal"/>
      <w:lvlText w:val="%6."/>
      <w:lvlJc w:val="left"/>
      <w:pPr>
        <w:tabs>
          <w:tab w:val="num" w:pos="4320"/>
        </w:tabs>
        <w:ind w:left="4320" w:hanging="360"/>
      </w:pPr>
    </w:lvl>
    <w:lvl w:ilvl="6" w:tplc="90824EE8" w:tentative="1">
      <w:start w:val="1"/>
      <w:numFmt w:val="decimal"/>
      <w:lvlText w:val="%7."/>
      <w:lvlJc w:val="left"/>
      <w:pPr>
        <w:tabs>
          <w:tab w:val="num" w:pos="5040"/>
        </w:tabs>
        <w:ind w:left="5040" w:hanging="360"/>
      </w:pPr>
    </w:lvl>
    <w:lvl w:ilvl="7" w:tplc="6994C548" w:tentative="1">
      <w:start w:val="1"/>
      <w:numFmt w:val="decimal"/>
      <w:lvlText w:val="%8."/>
      <w:lvlJc w:val="left"/>
      <w:pPr>
        <w:tabs>
          <w:tab w:val="num" w:pos="5760"/>
        </w:tabs>
        <w:ind w:left="5760" w:hanging="360"/>
      </w:pPr>
    </w:lvl>
    <w:lvl w:ilvl="8" w:tplc="D7BE3F88" w:tentative="1">
      <w:start w:val="1"/>
      <w:numFmt w:val="decimal"/>
      <w:lvlText w:val="%9."/>
      <w:lvlJc w:val="left"/>
      <w:pPr>
        <w:tabs>
          <w:tab w:val="num" w:pos="6480"/>
        </w:tabs>
        <w:ind w:left="6480" w:hanging="360"/>
      </w:pPr>
    </w:lvl>
  </w:abstractNum>
  <w:num w:numId="1">
    <w:abstractNumId w:val="3"/>
    <w:lvlOverride w:ilvl="0">
      <w:lvl w:ilvl="0">
        <w:numFmt w:val="upperLetter"/>
        <w:lvlText w:val="%1."/>
        <w:lvlJc w:val="left"/>
        <w:rPr>
          <w:color w:val="FFFFFF" w:themeColor="background1"/>
        </w:rPr>
      </w:lvl>
    </w:lvlOverride>
  </w:num>
  <w:num w:numId="2">
    <w:abstractNumId w:val="1"/>
  </w:num>
  <w:num w:numId="3">
    <w:abstractNumId w:val="4"/>
  </w:num>
  <w:num w:numId="4">
    <w:abstractNumId w:val="7"/>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66"/>
    <w:rsid w:val="001040D3"/>
    <w:rsid w:val="004F34EF"/>
    <w:rsid w:val="004F6722"/>
    <w:rsid w:val="00502C8D"/>
    <w:rsid w:val="006055C7"/>
    <w:rsid w:val="007A0DB1"/>
    <w:rsid w:val="00985A43"/>
    <w:rsid w:val="00B87A31"/>
    <w:rsid w:val="00B87DF2"/>
    <w:rsid w:val="00E17766"/>
    <w:rsid w:val="00EA09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A00767"/>
  <w15:chartTrackingRefBased/>
  <w15:docId w15:val="{ECDC2E5E-3A50-2F4E-BBBB-8336922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E17766"/>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1776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1776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E17766"/>
    <w:rPr>
      <w:color w:val="0000FF"/>
      <w:u w:val="single"/>
    </w:rPr>
  </w:style>
  <w:style w:type="paragraph" w:styleId="En-tte">
    <w:name w:val="header"/>
    <w:basedOn w:val="Normal"/>
    <w:link w:val="En-tteCar"/>
    <w:uiPriority w:val="99"/>
    <w:unhideWhenUsed/>
    <w:rsid w:val="00E17766"/>
    <w:pPr>
      <w:tabs>
        <w:tab w:val="center" w:pos="4536"/>
        <w:tab w:val="right" w:pos="9072"/>
      </w:tabs>
    </w:pPr>
  </w:style>
  <w:style w:type="character" w:customStyle="1" w:styleId="En-tteCar">
    <w:name w:val="En-tête Car"/>
    <w:basedOn w:val="Policepardfaut"/>
    <w:link w:val="En-tte"/>
    <w:uiPriority w:val="99"/>
    <w:rsid w:val="00E17766"/>
  </w:style>
  <w:style w:type="paragraph" w:styleId="Pieddepage">
    <w:name w:val="footer"/>
    <w:basedOn w:val="Normal"/>
    <w:link w:val="PieddepageCar"/>
    <w:uiPriority w:val="99"/>
    <w:unhideWhenUsed/>
    <w:rsid w:val="00E17766"/>
    <w:pPr>
      <w:tabs>
        <w:tab w:val="center" w:pos="4536"/>
        <w:tab w:val="right" w:pos="9072"/>
      </w:tabs>
    </w:pPr>
  </w:style>
  <w:style w:type="character" w:customStyle="1" w:styleId="PieddepageCar">
    <w:name w:val="Pied de page Car"/>
    <w:basedOn w:val="Policepardfaut"/>
    <w:link w:val="Pieddepage"/>
    <w:uiPriority w:val="99"/>
    <w:rsid w:val="00E17766"/>
  </w:style>
  <w:style w:type="paragraph" w:styleId="Paragraphedeliste">
    <w:name w:val="List Paragraph"/>
    <w:basedOn w:val="Normal"/>
    <w:uiPriority w:val="34"/>
    <w:qFormat/>
    <w:rsid w:val="00EA0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77399">
      <w:bodyDiv w:val="1"/>
      <w:marLeft w:val="0"/>
      <w:marRight w:val="0"/>
      <w:marTop w:val="0"/>
      <w:marBottom w:val="0"/>
      <w:divBdr>
        <w:top w:val="none" w:sz="0" w:space="0" w:color="auto"/>
        <w:left w:val="none" w:sz="0" w:space="0" w:color="auto"/>
        <w:bottom w:val="none" w:sz="0" w:space="0" w:color="auto"/>
        <w:right w:val="none" w:sz="0" w:space="0" w:color="auto"/>
      </w:divBdr>
    </w:div>
    <w:div w:id="2131166421">
      <w:bodyDiv w:val="1"/>
      <w:marLeft w:val="0"/>
      <w:marRight w:val="0"/>
      <w:marTop w:val="0"/>
      <w:marBottom w:val="0"/>
      <w:divBdr>
        <w:top w:val="none" w:sz="0" w:space="0" w:color="auto"/>
        <w:left w:val="none" w:sz="0" w:space="0" w:color="auto"/>
        <w:bottom w:val="none" w:sz="0" w:space="0" w:color="auto"/>
        <w:right w:val="none" w:sz="0" w:space="0" w:color="auto"/>
      </w:divBdr>
      <w:divsChild>
        <w:div w:id="2101173091">
          <w:marLeft w:val="-9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ciences-participatives.org/sciences-participatives/collectif/1/collectif-vigie-mer" TargetMode="External"/><Relationship Id="rId3" Type="http://schemas.openxmlformats.org/officeDocument/2006/relationships/settings" Target="settings.xml"/><Relationship Id="rId7" Type="http://schemas.openxmlformats.org/officeDocument/2006/relationships/hyperlink" Target="https://www.open-sciences-participativ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r-ilico.fr/en/content/download/139349/file/2020_02_19_Document_de_cadrage_ILICO_v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586</Words>
  <Characters>3227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IR-ILICO</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Burden</dc:creator>
  <cp:keywords/>
  <dc:description/>
  <cp:lastModifiedBy>Joanne Burden</cp:lastModifiedBy>
  <cp:revision>1</cp:revision>
  <dcterms:created xsi:type="dcterms:W3CDTF">2022-02-23T16:38:00Z</dcterms:created>
  <dcterms:modified xsi:type="dcterms:W3CDTF">2022-02-23T17:08:00Z</dcterms:modified>
</cp:coreProperties>
</file>