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7917" w14:textId="77777777" w:rsidR="000B088B" w:rsidRDefault="000B088B" w:rsidP="000F0210">
      <w:pPr>
        <w:pStyle w:val="Bodytext20"/>
        <w:shd w:val="clear" w:color="auto" w:fill="auto"/>
        <w:rPr>
          <w:rFonts w:asciiTheme="minorHAnsi" w:hAnsiTheme="minorHAnsi"/>
          <w:b/>
          <w:color w:val="000000"/>
          <w:lang w:bidi="fr-FR"/>
        </w:rPr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6"/>
        <w:gridCol w:w="7960"/>
      </w:tblGrid>
      <w:tr w:rsidR="000B088B" w:rsidRPr="00EF733A" w14:paraId="3D71BAAF" w14:textId="77777777" w:rsidTr="00557B33">
        <w:tc>
          <w:tcPr>
            <w:tcW w:w="1101" w:type="dxa"/>
            <w:tcMar>
              <w:top w:w="57" w:type="dxa"/>
              <w:bottom w:w="57" w:type="dxa"/>
            </w:tcMar>
          </w:tcPr>
          <w:p w14:paraId="046819DD" w14:textId="77777777" w:rsidR="000B088B" w:rsidRPr="00557B33" w:rsidRDefault="000B088B" w:rsidP="000F0210">
            <w:pPr>
              <w:pStyle w:val="Bodytext20"/>
              <w:shd w:val="clear" w:color="auto" w:fill="auto"/>
              <w:rPr>
                <w:rFonts w:asciiTheme="minorHAnsi" w:hAnsiTheme="minorHAnsi"/>
                <w:b/>
                <w:color w:val="7F7F7F" w:themeColor="text1" w:themeTint="80"/>
                <w:lang w:bidi="fr-FR"/>
              </w:rPr>
            </w:pPr>
            <w:r w:rsidRPr="00557B33">
              <w:rPr>
                <w:rFonts w:asciiTheme="minorHAnsi" w:hAnsiTheme="minorHAnsi"/>
                <w:b/>
                <w:color w:val="7F7F7F" w:themeColor="text1" w:themeTint="80"/>
                <w:lang w:bidi="fr-FR"/>
              </w:rPr>
              <w:t>De :</w:t>
            </w:r>
          </w:p>
        </w:tc>
        <w:tc>
          <w:tcPr>
            <w:tcW w:w="8105" w:type="dxa"/>
            <w:tcMar>
              <w:top w:w="57" w:type="dxa"/>
              <w:bottom w:w="57" w:type="dxa"/>
            </w:tcMar>
          </w:tcPr>
          <w:p w14:paraId="28B4DC3C" w14:textId="77D66D53" w:rsidR="000B088B" w:rsidRPr="00557B33" w:rsidRDefault="00663939" w:rsidP="000F0210">
            <w:pPr>
              <w:pStyle w:val="Bodytext20"/>
              <w:shd w:val="clear" w:color="auto" w:fill="auto"/>
              <w:rPr>
                <w:rFonts w:asciiTheme="minorHAnsi" w:hAnsiTheme="minorHAnsi"/>
                <w:color w:val="7F7F7F" w:themeColor="text1" w:themeTint="80"/>
                <w:lang w:bidi="fr-FR"/>
              </w:rPr>
            </w:pPr>
            <w:r w:rsidRPr="00557B33">
              <w:rPr>
                <w:rFonts w:asciiTheme="minorHAnsi" w:hAnsiTheme="minorHAnsi"/>
                <w:color w:val="7F7F7F" w:themeColor="text1" w:themeTint="80"/>
                <w:lang w:bidi="fr-FR"/>
              </w:rPr>
              <w:t>Coordination</w:t>
            </w:r>
            <w:r w:rsidR="000B088B" w:rsidRPr="00557B33">
              <w:rPr>
                <w:rFonts w:asciiTheme="minorHAnsi" w:hAnsiTheme="minorHAnsi"/>
                <w:color w:val="7F7F7F" w:themeColor="text1" w:themeTint="80"/>
                <w:lang w:bidi="fr-FR"/>
              </w:rPr>
              <w:t xml:space="preserve"> ILICO</w:t>
            </w:r>
          </w:p>
        </w:tc>
      </w:tr>
      <w:tr w:rsidR="000B088B" w:rsidRPr="00EF733A" w14:paraId="0378657E" w14:textId="77777777" w:rsidTr="00557B33">
        <w:tc>
          <w:tcPr>
            <w:tcW w:w="1101" w:type="dxa"/>
            <w:tcMar>
              <w:top w:w="57" w:type="dxa"/>
              <w:bottom w:w="57" w:type="dxa"/>
            </w:tcMar>
          </w:tcPr>
          <w:p w14:paraId="4F139557" w14:textId="77777777" w:rsidR="000B088B" w:rsidRPr="00557B33" w:rsidRDefault="000B088B" w:rsidP="000F0210">
            <w:pPr>
              <w:pStyle w:val="Bodytext20"/>
              <w:shd w:val="clear" w:color="auto" w:fill="auto"/>
              <w:rPr>
                <w:rFonts w:asciiTheme="minorHAnsi" w:hAnsiTheme="minorHAnsi"/>
                <w:b/>
                <w:color w:val="7F7F7F" w:themeColor="text1" w:themeTint="80"/>
                <w:lang w:bidi="fr-FR"/>
              </w:rPr>
            </w:pPr>
            <w:r w:rsidRPr="00557B33">
              <w:rPr>
                <w:rFonts w:asciiTheme="minorHAnsi" w:hAnsiTheme="minorHAnsi"/>
                <w:b/>
                <w:color w:val="7F7F7F" w:themeColor="text1" w:themeTint="80"/>
                <w:lang w:bidi="fr-FR"/>
              </w:rPr>
              <w:t>A :</w:t>
            </w:r>
          </w:p>
        </w:tc>
        <w:tc>
          <w:tcPr>
            <w:tcW w:w="8105" w:type="dxa"/>
            <w:tcMar>
              <w:top w:w="57" w:type="dxa"/>
              <w:bottom w:w="57" w:type="dxa"/>
            </w:tcMar>
          </w:tcPr>
          <w:p w14:paraId="3D5510F5" w14:textId="31F0855A" w:rsidR="00F81CA6" w:rsidRPr="00557B33" w:rsidRDefault="004D2683" w:rsidP="00F81CA6">
            <w:pPr>
              <w:pStyle w:val="Bodytext20"/>
              <w:shd w:val="clear" w:color="auto" w:fill="auto"/>
              <w:rPr>
                <w:rFonts w:asciiTheme="minorHAnsi" w:hAnsiTheme="minorHAnsi"/>
                <w:color w:val="7F7F7F" w:themeColor="text1" w:themeTint="80"/>
                <w:lang w:bidi="fr-FR"/>
              </w:rPr>
            </w:pPr>
            <w:r>
              <w:rPr>
                <w:rFonts w:asciiTheme="minorHAnsi" w:hAnsiTheme="minorHAnsi"/>
                <w:color w:val="7F7F7F" w:themeColor="text1" w:themeTint="80"/>
                <w:lang w:bidi="fr-FR"/>
              </w:rPr>
              <w:t xml:space="preserve">Membres </w:t>
            </w:r>
            <w:r>
              <w:rPr>
                <w:rFonts w:asciiTheme="minorHAnsi" w:hAnsiTheme="minorHAnsi"/>
                <w:color w:val="7F7F7F" w:themeColor="text1" w:themeTint="80"/>
                <w:lang w:bidi="fr-FR"/>
              </w:rPr>
              <w:t>du bureau fédéral d’ILICO</w:t>
            </w:r>
          </w:p>
        </w:tc>
      </w:tr>
      <w:tr w:rsidR="000B088B" w:rsidRPr="00EF733A" w14:paraId="31B34C64" w14:textId="77777777" w:rsidTr="00557B33">
        <w:tc>
          <w:tcPr>
            <w:tcW w:w="1101" w:type="dxa"/>
            <w:tcMar>
              <w:top w:w="57" w:type="dxa"/>
              <w:bottom w:w="57" w:type="dxa"/>
            </w:tcMar>
          </w:tcPr>
          <w:p w14:paraId="3CDA481F" w14:textId="77777777" w:rsidR="000B088B" w:rsidRPr="00557B33" w:rsidRDefault="000B088B" w:rsidP="000F0210">
            <w:pPr>
              <w:pStyle w:val="Bodytext20"/>
              <w:shd w:val="clear" w:color="auto" w:fill="auto"/>
              <w:rPr>
                <w:rFonts w:asciiTheme="minorHAnsi" w:hAnsiTheme="minorHAnsi"/>
                <w:b/>
                <w:color w:val="7F7F7F" w:themeColor="text1" w:themeTint="80"/>
                <w:lang w:bidi="fr-FR"/>
              </w:rPr>
            </w:pPr>
            <w:r w:rsidRPr="00557B33">
              <w:rPr>
                <w:rFonts w:asciiTheme="minorHAnsi" w:hAnsiTheme="minorHAnsi"/>
                <w:b/>
                <w:color w:val="7F7F7F" w:themeColor="text1" w:themeTint="80"/>
                <w:lang w:bidi="fr-FR"/>
              </w:rPr>
              <w:t>Date :</w:t>
            </w:r>
          </w:p>
        </w:tc>
        <w:tc>
          <w:tcPr>
            <w:tcW w:w="8105" w:type="dxa"/>
            <w:tcMar>
              <w:top w:w="57" w:type="dxa"/>
              <w:bottom w:w="57" w:type="dxa"/>
            </w:tcMar>
          </w:tcPr>
          <w:p w14:paraId="1D0DB3B1" w14:textId="4C6D95C0" w:rsidR="000B088B" w:rsidRPr="00557B33" w:rsidRDefault="00557B33" w:rsidP="000F0210">
            <w:pPr>
              <w:pStyle w:val="Bodytext20"/>
              <w:shd w:val="clear" w:color="auto" w:fill="auto"/>
              <w:rPr>
                <w:rFonts w:asciiTheme="minorHAnsi" w:hAnsiTheme="minorHAnsi"/>
                <w:color w:val="7F7F7F" w:themeColor="text1" w:themeTint="80"/>
                <w:lang w:bidi="fr-FR"/>
              </w:rPr>
            </w:pPr>
            <w:r w:rsidRPr="00557B33">
              <w:rPr>
                <w:rFonts w:asciiTheme="minorHAnsi" w:hAnsiTheme="minorHAnsi"/>
                <w:color w:val="7F7F7F" w:themeColor="text1" w:themeTint="80"/>
                <w:lang w:bidi="fr-FR"/>
              </w:rPr>
              <w:t>2</w:t>
            </w:r>
            <w:r w:rsidR="004D2683">
              <w:rPr>
                <w:rFonts w:asciiTheme="minorHAnsi" w:hAnsiTheme="minorHAnsi"/>
                <w:color w:val="7F7F7F" w:themeColor="text1" w:themeTint="80"/>
                <w:lang w:bidi="fr-FR"/>
              </w:rPr>
              <w:t>7/10/</w:t>
            </w:r>
            <w:r w:rsidR="00663939" w:rsidRPr="00557B33">
              <w:rPr>
                <w:rFonts w:asciiTheme="minorHAnsi" w:hAnsiTheme="minorHAnsi"/>
                <w:color w:val="7F7F7F" w:themeColor="text1" w:themeTint="80"/>
                <w:lang w:bidi="fr-FR"/>
              </w:rPr>
              <w:t>202</w:t>
            </w:r>
            <w:r w:rsidRPr="00557B33">
              <w:rPr>
                <w:rFonts w:asciiTheme="minorHAnsi" w:hAnsiTheme="minorHAnsi"/>
                <w:color w:val="7F7F7F" w:themeColor="text1" w:themeTint="80"/>
                <w:lang w:bidi="fr-FR"/>
              </w:rPr>
              <w:t>1</w:t>
            </w:r>
          </w:p>
        </w:tc>
      </w:tr>
      <w:tr w:rsidR="000B088B" w:rsidRPr="00EF733A" w14:paraId="108286EB" w14:textId="77777777" w:rsidTr="00557B33">
        <w:tc>
          <w:tcPr>
            <w:tcW w:w="1101" w:type="dxa"/>
            <w:tcMar>
              <w:top w:w="57" w:type="dxa"/>
              <w:bottom w:w="57" w:type="dxa"/>
            </w:tcMar>
          </w:tcPr>
          <w:p w14:paraId="46866FEB" w14:textId="77777777" w:rsidR="000B088B" w:rsidRPr="00557B33" w:rsidRDefault="000B088B" w:rsidP="000F0210">
            <w:pPr>
              <w:pStyle w:val="Bodytext20"/>
              <w:shd w:val="clear" w:color="auto" w:fill="auto"/>
              <w:rPr>
                <w:rFonts w:asciiTheme="minorHAnsi" w:hAnsiTheme="minorHAnsi"/>
                <w:b/>
                <w:color w:val="7F7F7F" w:themeColor="text1" w:themeTint="80"/>
                <w:lang w:bidi="fr-FR"/>
              </w:rPr>
            </w:pPr>
            <w:r w:rsidRPr="00557B33">
              <w:rPr>
                <w:rFonts w:asciiTheme="minorHAnsi" w:hAnsiTheme="minorHAnsi"/>
                <w:b/>
                <w:color w:val="7F7F7F" w:themeColor="text1" w:themeTint="80"/>
                <w:lang w:bidi="fr-FR"/>
              </w:rPr>
              <w:t>Objet :</w:t>
            </w:r>
          </w:p>
        </w:tc>
        <w:tc>
          <w:tcPr>
            <w:tcW w:w="8105" w:type="dxa"/>
            <w:tcMar>
              <w:top w:w="57" w:type="dxa"/>
              <w:bottom w:w="57" w:type="dxa"/>
            </w:tcMar>
          </w:tcPr>
          <w:p w14:paraId="2E80712D" w14:textId="17407286" w:rsidR="000B088B" w:rsidRPr="00557B33" w:rsidRDefault="00560A10" w:rsidP="00076A7A">
            <w:pPr>
              <w:pStyle w:val="Bodytext20"/>
              <w:shd w:val="clear" w:color="auto" w:fill="auto"/>
              <w:rPr>
                <w:rFonts w:asciiTheme="minorHAnsi" w:hAnsiTheme="minorHAnsi"/>
                <w:color w:val="7F7F7F" w:themeColor="text1" w:themeTint="80"/>
                <w:lang w:bidi="fr-FR"/>
              </w:rPr>
            </w:pPr>
            <w:r>
              <w:rPr>
                <w:rFonts w:asciiTheme="minorHAnsi" w:hAnsiTheme="minorHAnsi"/>
                <w:color w:val="7F7F7F" w:themeColor="text1" w:themeTint="80"/>
                <w:lang w:bidi="fr-FR"/>
              </w:rPr>
              <w:t>Recense</w:t>
            </w:r>
            <w:r w:rsidR="00623CA2">
              <w:rPr>
                <w:rFonts w:asciiTheme="minorHAnsi" w:hAnsiTheme="minorHAnsi"/>
                <w:color w:val="7F7F7F" w:themeColor="text1" w:themeTint="80"/>
                <w:lang w:bidi="fr-FR"/>
              </w:rPr>
              <w:t>ment des données complémentaires d’intérêt collectif pour ILICO</w:t>
            </w:r>
          </w:p>
        </w:tc>
      </w:tr>
    </w:tbl>
    <w:p w14:paraId="699A578C" w14:textId="77777777" w:rsidR="00825506" w:rsidRPr="00870077" w:rsidRDefault="00825506" w:rsidP="00623CA2">
      <w:pPr>
        <w:spacing w:before="120"/>
        <w:rPr>
          <w:color w:val="000000" w:themeColor="text1"/>
          <w:sz w:val="22"/>
          <w:szCs w:val="22"/>
        </w:rPr>
      </w:pPr>
    </w:p>
    <w:p w14:paraId="5BCD8AB3" w14:textId="50ED75A6" w:rsidR="00663939" w:rsidRPr="00870077" w:rsidRDefault="00663939" w:rsidP="00870077">
      <w:pPr>
        <w:pStyle w:val="Paragraphedeliste"/>
        <w:numPr>
          <w:ilvl w:val="0"/>
          <w:numId w:val="19"/>
        </w:numPr>
        <w:spacing w:before="120"/>
        <w:rPr>
          <w:b/>
          <w:sz w:val="22"/>
          <w:szCs w:val="22"/>
        </w:rPr>
      </w:pPr>
      <w:r w:rsidRPr="00870077">
        <w:rPr>
          <w:b/>
          <w:sz w:val="22"/>
          <w:szCs w:val="22"/>
        </w:rPr>
        <w:t>Contexte</w:t>
      </w:r>
    </w:p>
    <w:p w14:paraId="7686CA6B" w14:textId="4372753B" w:rsidR="00663939" w:rsidRPr="00870077" w:rsidRDefault="00663939" w:rsidP="00663939">
      <w:pPr>
        <w:spacing w:before="120"/>
        <w:ind w:firstLine="284"/>
        <w:jc w:val="both"/>
        <w:rPr>
          <w:sz w:val="22"/>
          <w:szCs w:val="22"/>
        </w:rPr>
      </w:pPr>
      <w:r w:rsidRPr="00870077">
        <w:rPr>
          <w:sz w:val="22"/>
          <w:szCs w:val="22"/>
        </w:rPr>
        <w:t>L’IR ILICO a été initialement constituée comme une « fédération » de services d’observation labellisés, ou en voie de labellisation</w:t>
      </w:r>
      <w:r w:rsidR="00D07DA9">
        <w:rPr>
          <w:sz w:val="22"/>
          <w:szCs w:val="22"/>
        </w:rPr>
        <w:t xml:space="preserve"> en tant que </w:t>
      </w:r>
      <w:r w:rsidRPr="00870077">
        <w:rPr>
          <w:sz w:val="22"/>
          <w:szCs w:val="22"/>
        </w:rPr>
        <w:t xml:space="preserve">Services Nationaux d’Observation </w:t>
      </w:r>
      <w:r w:rsidR="006F049B" w:rsidRPr="00870077">
        <w:rPr>
          <w:sz w:val="22"/>
          <w:szCs w:val="22"/>
        </w:rPr>
        <w:t xml:space="preserve">(SNO) </w:t>
      </w:r>
      <w:r w:rsidRPr="00870077">
        <w:rPr>
          <w:sz w:val="22"/>
          <w:szCs w:val="22"/>
        </w:rPr>
        <w:t xml:space="preserve">par les </w:t>
      </w:r>
      <w:r w:rsidR="00D07DA9">
        <w:rPr>
          <w:sz w:val="22"/>
          <w:szCs w:val="22"/>
        </w:rPr>
        <w:t>C</w:t>
      </w:r>
      <w:r w:rsidR="000F0345">
        <w:rPr>
          <w:sz w:val="22"/>
          <w:szCs w:val="22"/>
        </w:rPr>
        <w:t>ommi</w:t>
      </w:r>
      <w:r w:rsidR="00623CA2">
        <w:rPr>
          <w:sz w:val="22"/>
          <w:szCs w:val="22"/>
        </w:rPr>
        <w:t>s</w:t>
      </w:r>
      <w:r w:rsidR="000F0345">
        <w:rPr>
          <w:sz w:val="22"/>
          <w:szCs w:val="22"/>
        </w:rPr>
        <w:t>sions</w:t>
      </w:r>
      <w:r w:rsidR="00D07DA9">
        <w:rPr>
          <w:sz w:val="22"/>
          <w:szCs w:val="22"/>
        </w:rPr>
        <w:t xml:space="preserve"> Scientifiques du CNRS-INSU</w:t>
      </w:r>
      <w:r w:rsidRPr="00870077">
        <w:rPr>
          <w:sz w:val="22"/>
          <w:szCs w:val="22"/>
        </w:rPr>
        <w:t xml:space="preserve">. ILICO comprend aujourd’hui 8 </w:t>
      </w:r>
      <w:r w:rsidR="006F049B" w:rsidRPr="00870077">
        <w:rPr>
          <w:sz w:val="22"/>
          <w:szCs w:val="22"/>
        </w:rPr>
        <w:t>SNO</w:t>
      </w:r>
      <w:r w:rsidRPr="00870077">
        <w:rPr>
          <w:sz w:val="22"/>
          <w:szCs w:val="22"/>
        </w:rPr>
        <w:t xml:space="preserve"> labellisés, et un en « incubation » (avec dossier à réexaminer à la prochaine itération</w:t>
      </w:r>
      <w:r w:rsidR="00440BBE">
        <w:rPr>
          <w:sz w:val="22"/>
          <w:szCs w:val="22"/>
        </w:rPr>
        <w:t xml:space="preserve"> de la CSOA</w:t>
      </w:r>
      <w:r w:rsidRPr="00870077">
        <w:rPr>
          <w:sz w:val="22"/>
          <w:szCs w:val="22"/>
        </w:rPr>
        <w:t>).</w:t>
      </w:r>
    </w:p>
    <w:p w14:paraId="410CA0AD" w14:textId="0E68F717" w:rsidR="00551D1C" w:rsidRPr="00870077" w:rsidRDefault="00663939" w:rsidP="00551D1C">
      <w:pPr>
        <w:spacing w:before="120"/>
        <w:ind w:firstLine="284"/>
        <w:jc w:val="both"/>
        <w:rPr>
          <w:sz w:val="22"/>
          <w:szCs w:val="22"/>
        </w:rPr>
      </w:pPr>
      <w:r w:rsidRPr="00870077">
        <w:rPr>
          <w:sz w:val="22"/>
          <w:szCs w:val="22"/>
        </w:rPr>
        <w:t>La procédure de labellisation est rigoureuse sur la définition des paramètres</w:t>
      </w:r>
      <w:r w:rsidR="006F049B" w:rsidRPr="00870077">
        <w:rPr>
          <w:sz w:val="22"/>
          <w:szCs w:val="22"/>
        </w:rPr>
        <w:t xml:space="preserve"> et les protocoles de </w:t>
      </w:r>
      <w:r w:rsidR="00E454DE" w:rsidRPr="00870077">
        <w:rPr>
          <w:sz w:val="22"/>
          <w:szCs w:val="22"/>
        </w:rPr>
        <w:t>mesures qui</w:t>
      </w:r>
      <w:r w:rsidRPr="00870077">
        <w:rPr>
          <w:sz w:val="22"/>
          <w:szCs w:val="22"/>
        </w:rPr>
        <w:t xml:space="preserve"> rentrent, ou non, dans le périmètre du </w:t>
      </w:r>
      <w:r w:rsidR="006F049B" w:rsidRPr="00870077">
        <w:rPr>
          <w:sz w:val="22"/>
          <w:szCs w:val="22"/>
        </w:rPr>
        <w:t>SNO</w:t>
      </w:r>
      <w:r w:rsidRPr="00870077">
        <w:rPr>
          <w:sz w:val="22"/>
          <w:szCs w:val="22"/>
        </w:rPr>
        <w:t xml:space="preserve">. </w:t>
      </w:r>
    </w:p>
    <w:p w14:paraId="25550959" w14:textId="77777777" w:rsidR="00551D1C" w:rsidRPr="00870077" w:rsidRDefault="00551D1C" w:rsidP="00551D1C">
      <w:pPr>
        <w:spacing w:before="120"/>
        <w:ind w:firstLine="284"/>
        <w:jc w:val="both"/>
        <w:rPr>
          <w:sz w:val="22"/>
          <w:szCs w:val="22"/>
        </w:rPr>
      </w:pPr>
    </w:p>
    <w:p w14:paraId="64038528" w14:textId="3888BEC5" w:rsidR="006F049B" w:rsidRDefault="006F049B" w:rsidP="00551D1C">
      <w:pPr>
        <w:ind w:firstLine="284"/>
        <w:jc w:val="both"/>
        <w:rPr>
          <w:sz w:val="22"/>
          <w:szCs w:val="22"/>
        </w:rPr>
      </w:pPr>
      <w:r w:rsidRPr="00870077">
        <w:rPr>
          <w:sz w:val="22"/>
          <w:szCs w:val="22"/>
        </w:rPr>
        <w:t>A côté de ce cadre formel</w:t>
      </w:r>
      <w:r w:rsidR="00D07DA9">
        <w:rPr>
          <w:sz w:val="22"/>
          <w:szCs w:val="22"/>
        </w:rPr>
        <w:t xml:space="preserve"> </w:t>
      </w:r>
      <w:r w:rsidR="00623CA2">
        <w:rPr>
          <w:sz w:val="22"/>
          <w:szCs w:val="22"/>
        </w:rPr>
        <w:t>de labellisation</w:t>
      </w:r>
      <w:r w:rsidRPr="00870077">
        <w:rPr>
          <w:sz w:val="22"/>
          <w:szCs w:val="22"/>
        </w:rPr>
        <w:t xml:space="preserve">, </w:t>
      </w:r>
      <w:r w:rsidR="00D07DA9">
        <w:rPr>
          <w:sz w:val="22"/>
          <w:szCs w:val="22"/>
        </w:rPr>
        <w:t xml:space="preserve">des données </w:t>
      </w:r>
      <w:r w:rsidR="00623CA2">
        <w:rPr>
          <w:sz w:val="22"/>
          <w:szCs w:val="22"/>
        </w:rPr>
        <w:t xml:space="preserve">d’observation </w:t>
      </w:r>
      <w:r w:rsidR="00551D1C" w:rsidRPr="00870077">
        <w:rPr>
          <w:sz w:val="22"/>
          <w:szCs w:val="22"/>
        </w:rPr>
        <w:t xml:space="preserve">présentant un intérêt pour </w:t>
      </w:r>
      <w:r w:rsidRPr="00870077">
        <w:rPr>
          <w:sz w:val="22"/>
          <w:szCs w:val="22"/>
        </w:rPr>
        <w:t>l</w:t>
      </w:r>
      <w:r w:rsidR="00623CA2">
        <w:rPr>
          <w:sz w:val="22"/>
          <w:szCs w:val="22"/>
        </w:rPr>
        <w:t>a recherche</w:t>
      </w:r>
      <w:r w:rsidRPr="00870077">
        <w:rPr>
          <w:sz w:val="22"/>
          <w:szCs w:val="22"/>
        </w:rPr>
        <w:t xml:space="preserve"> littorale </w:t>
      </w:r>
      <w:r w:rsidR="00551D1C" w:rsidRPr="00870077">
        <w:rPr>
          <w:sz w:val="22"/>
          <w:szCs w:val="22"/>
        </w:rPr>
        <w:t>et</w:t>
      </w:r>
      <w:r w:rsidRPr="00870077">
        <w:rPr>
          <w:sz w:val="22"/>
          <w:szCs w:val="22"/>
        </w:rPr>
        <w:t xml:space="preserve"> côtière sans pour autant </w:t>
      </w:r>
      <w:r w:rsidR="009F478C">
        <w:rPr>
          <w:sz w:val="22"/>
          <w:szCs w:val="22"/>
        </w:rPr>
        <w:t>avoir r</w:t>
      </w:r>
      <w:r w:rsidR="00A85788">
        <w:rPr>
          <w:sz w:val="22"/>
          <w:szCs w:val="22"/>
        </w:rPr>
        <w:t>echerch</w:t>
      </w:r>
      <w:r w:rsidR="009F478C">
        <w:rPr>
          <w:sz w:val="22"/>
          <w:szCs w:val="22"/>
        </w:rPr>
        <w:t>é</w:t>
      </w:r>
      <w:r w:rsidRPr="00870077">
        <w:rPr>
          <w:sz w:val="22"/>
          <w:szCs w:val="22"/>
        </w:rPr>
        <w:t xml:space="preserve"> la labellisation</w:t>
      </w:r>
      <w:r w:rsidR="00D07DA9">
        <w:rPr>
          <w:sz w:val="22"/>
          <w:szCs w:val="22"/>
        </w:rPr>
        <w:t xml:space="preserve"> </w:t>
      </w:r>
      <w:r w:rsidR="00A85788">
        <w:rPr>
          <w:sz w:val="22"/>
          <w:szCs w:val="22"/>
        </w:rPr>
        <w:t>son</w:t>
      </w:r>
      <w:r w:rsidR="00D07DA9">
        <w:rPr>
          <w:sz w:val="22"/>
          <w:szCs w:val="22"/>
        </w:rPr>
        <w:t>t</w:t>
      </w:r>
      <w:r w:rsidR="00667DA2">
        <w:rPr>
          <w:sz w:val="22"/>
          <w:szCs w:val="22"/>
        </w:rPr>
        <w:t xml:space="preserve"> </w:t>
      </w:r>
      <w:r w:rsidR="00D07DA9">
        <w:rPr>
          <w:sz w:val="22"/>
          <w:szCs w:val="22"/>
        </w:rPr>
        <w:t>également acquises</w:t>
      </w:r>
      <w:r w:rsidRPr="00870077">
        <w:rPr>
          <w:sz w:val="22"/>
          <w:szCs w:val="22"/>
        </w:rPr>
        <w:t xml:space="preserve">. Il s’agit notamment : </w:t>
      </w:r>
    </w:p>
    <w:p w14:paraId="3BF286E4" w14:textId="77777777" w:rsidR="00D07DA9" w:rsidRPr="00870077" w:rsidRDefault="00D07DA9" w:rsidP="00551D1C">
      <w:pPr>
        <w:ind w:firstLine="284"/>
        <w:jc w:val="both"/>
        <w:rPr>
          <w:sz w:val="22"/>
          <w:szCs w:val="22"/>
        </w:rPr>
      </w:pPr>
    </w:p>
    <w:p w14:paraId="387EAEA8" w14:textId="6D0D0236" w:rsidR="006F049B" w:rsidRPr="00870077" w:rsidRDefault="006F049B" w:rsidP="00551D1C">
      <w:pPr>
        <w:pStyle w:val="Paragraphedeliste"/>
        <w:numPr>
          <w:ilvl w:val="0"/>
          <w:numId w:val="14"/>
        </w:numPr>
        <w:ind w:left="1003" w:hanging="357"/>
        <w:contextualSpacing w:val="0"/>
        <w:jc w:val="both"/>
        <w:rPr>
          <w:sz w:val="22"/>
          <w:szCs w:val="22"/>
        </w:rPr>
      </w:pPr>
      <w:r w:rsidRPr="00870077">
        <w:rPr>
          <w:sz w:val="22"/>
          <w:szCs w:val="22"/>
        </w:rPr>
        <w:t xml:space="preserve">De séries temporelles </w:t>
      </w:r>
      <w:r w:rsidRPr="00870077">
        <w:rPr>
          <w:b/>
          <w:sz w:val="22"/>
          <w:szCs w:val="22"/>
        </w:rPr>
        <w:t>collectées par les équipes des SNO</w:t>
      </w:r>
      <w:r w:rsidRPr="00870077">
        <w:rPr>
          <w:sz w:val="22"/>
          <w:szCs w:val="22"/>
        </w:rPr>
        <w:t xml:space="preserve">, simultanément aux séries labellisées, mais </w:t>
      </w:r>
      <w:r w:rsidRPr="00870077">
        <w:rPr>
          <w:b/>
          <w:sz w:val="22"/>
          <w:szCs w:val="22"/>
        </w:rPr>
        <w:t>qui ne font pas partie du périmètre de labellisation</w:t>
      </w:r>
      <w:r w:rsidRPr="00870077">
        <w:rPr>
          <w:sz w:val="22"/>
          <w:szCs w:val="22"/>
        </w:rPr>
        <w:t xml:space="preserve"> </w:t>
      </w:r>
    </w:p>
    <w:p w14:paraId="5175C12F" w14:textId="77777777" w:rsidR="006F049B" w:rsidRPr="00870077" w:rsidRDefault="006F049B" w:rsidP="00551D1C">
      <w:pPr>
        <w:ind w:firstLine="284"/>
        <w:jc w:val="both"/>
        <w:rPr>
          <w:sz w:val="22"/>
          <w:szCs w:val="22"/>
        </w:rPr>
      </w:pPr>
    </w:p>
    <w:p w14:paraId="53859A70" w14:textId="78EF828F" w:rsidR="00F14AD4" w:rsidRPr="00870077" w:rsidRDefault="00F14AD4" w:rsidP="00551D1C">
      <w:pPr>
        <w:pStyle w:val="Paragraphedeliste"/>
        <w:numPr>
          <w:ilvl w:val="0"/>
          <w:numId w:val="14"/>
        </w:numPr>
        <w:ind w:left="1003" w:hanging="357"/>
        <w:contextualSpacing w:val="0"/>
        <w:jc w:val="both"/>
        <w:rPr>
          <w:sz w:val="22"/>
          <w:szCs w:val="22"/>
        </w:rPr>
      </w:pPr>
      <w:r w:rsidRPr="00870077">
        <w:rPr>
          <w:sz w:val="22"/>
          <w:szCs w:val="22"/>
        </w:rPr>
        <w:t>Les séries temporelles</w:t>
      </w:r>
      <w:r w:rsidR="00E4076E" w:rsidRPr="00870077">
        <w:rPr>
          <w:sz w:val="22"/>
          <w:szCs w:val="22"/>
        </w:rPr>
        <w:t xml:space="preserve"> </w:t>
      </w:r>
      <w:r w:rsidR="00E4076E" w:rsidRPr="00870077">
        <w:rPr>
          <w:b/>
          <w:sz w:val="22"/>
          <w:szCs w:val="22"/>
        </w:rPr>
        <w:t>collectées par d’autres équipes</w:t>
      </w:r>
      <w:r w:rsidR="00E4076E" w:rsidRPr="00870077">
        <w:rPr>
          <w:sz w:val="22"/>
          <w:szCs w:val="22"/>
        </w:rPr>
        <w:t xml:space="preserve">, dépendant ou non d’organismes de recherche, </w:t>
      </w:r>
      <w:r w:rsidR="003F5BF5" w:rsidRPr="00623CA2">
        <w:rPr>
          <w:b/>
          <w:sz w:val="22"/>
          <w:szCs w:val="22"/>
        </w:rPr>
        <w:t xml:space="preserve">suivant </w:t>
      </w:r>
      <w:r w:rsidR="006F049B" w:rsidRPr="00623CA2">
        <w:rPr>
          <w:b/>
          <w:sz w:val="22"/>
          <w:szCs w:val="22"/>
        </w:rPr>
        <w:t>des</w:t>
      </w:r>
      <w:r w:rsidR="003F5BF5" w:rsidRPr="00623CA2">
        <w:rPr>
          <w:b/>
          <w:sz w:val="22"/>
          <w:szCs w:val="22"/>
        </w:rPr>
        <w:t xml:space="preserve"> protocoles </w:t>
      </w:r>
      <w:r w:rsidR="006F049B" w:rsidRPr="00623CA2">
        <w:rPr>
          <w:b/>
          <w:sz w:val="22"/>
          <w:szCs w:val="22"/>
        </w:rPr>
        <w:t>similaires</w:t>
      </w:r>
      <w:r w:rsidR="006F049B" w:rsidRPr="00870077">
        <w:rPr>
          <w:sz w:val="22"/>
          <w:szCs w:val="22"/>
        </w:rPr>
        <w:t xml:space="preserve"> </w:t>
      </w:r>
      <w:r w:rsidR="00E454DE" w:rsidRPr="00870077">
        <w:rPr>
          <w:sz w:val="22"/>
          <w:szCs w:val="22"/>
        </w:rPr>
        <w:t>à ceux</w:t>
      </w:r>
      <w:r w:rsidR="003F5BF5" w:rsidRPr="00870077">
        <w:rPr>
          <w:sz w:val="22"/>
          <w:szCs w:val="22"/>
        </w:rPr>
        <w:t xml:space="preserve"> du SNO concerné. Exemples : les points « SOMLIT-like » que soutient le réseau SOMLIT, les points « REPHY-Observation » de l’Ifremer qui n’ont pas été initialement intégrés à PHYTOBS, les mesures de bouées automatisées comparables à </w:t>
      </w:r>
      <w:proofErr w:type="spellStart"/>
      <w:r w:rsidR="003F5BF5" w:rsidRPr="00870077">
        <w:rPr>
          <w:sz w:val="22"/>
          <w:szCs w:val="22"/>
        </w:rPr>
        <w:t>Coast</w:t>
      </w:r>
      <w:proofErr w:type="spellEnd"/>
      <w:r w:rsidR="003F5BF5" w:rsidRPr="00870077">
        <w:rPr>
          <w:sz w:val="22"/>
          <w:szCs w:val="22"/>
        </w:rPr>
        <w:t xml:space="preserve"> HF mais qui ne font pas partie des 14 sites retenus, les séries de mesures du GCRMN (Global Coral </w:t>
      </w:r>
      <w:proofErr w:type="spellStart"/>
      <w:r w:rsidR="003F5BF5" w:rsidRPr="00870077">
        <w:rPr>
          <w:sz w:val="22"/>
          <w:szCs w:val="22"/>
        </w:rPr>
        <w:t>Reef</w:t>
      </w:r>
      <w:proofErr w:type="spellEnd"/>
      <w:r w:rsidR="003F5BF5" w:rsidRPr="00870077">
        <w:rPr>
          <w:sz w:val="22"/>
          <w:szCs w:val="22"/>
        </w:rPr>
        <w:t xml:space="preserve"> Monitoring Network) sur le même protocole que certaines séries de Corail, etc.</w:t>
      </w:r>
    </w:p>
    <w:p w14:paraId="7396876D" w14:textId="77777777" w:rsidR="006F049B" w:rsidRPr="00870077" w:rsidRDefault="006F049B" w:rsidP="00551D1C">
      <w:pPr>
        <w:pStyle w:val="Paragraphedeliste"/>
        <w:ind w:left="1004"/>
        <w:contextualSpacing w:val="0"/>
        <w:jc w:val="both"/>
        <w:rPr>
          <w:sz w:val="22"/>
          <w:szCs w:val="22"/>
        </w:rPr>
      </w:pPr>
    </w:p>
    <w:p w14:paraId="7B763560" w14:textId="5DF2D9D2" w:rsidR="003F5BF5" w:rsidRPr="00870077" w:rsidRDefault="003F5BF5" w:rsidP="00551D1C">
      <w:pPr>
        <w:pStyle w:val="Paragraphedeliste"/>
        <w:numPr>
          <w:ilvl w:val="0"/>
          <w:numId w:val="14"/>
        </w:numPr>
        <w:ind w:left="1003" w:hanging="357"/>
        <w:contextualSpacing w:val="0"/>
        <w:jc w:val="both"/>
        <w:rPr>
          <w:sz w:val="22"/>
          <w:szCs w:val="22"/>
        </w:rPr>
      </w:pPr>
      <w:r w:rsidRPr="00870077">
        <w:rPr>
          <w:sz w:val="22"/>
          <w:szCs w:val="22"/>
        </w:rPr>
        <w:t xml:space="preserve">Les séries temporelles collectées par </w:t>
      </w:r>
      <w:r w:rsidRPr="00870077">
        <w:rPr>
          <w:b/>
          <w:sz w:val="22"/>
          <w:szCs w:val="22"/>
        </w:rPr>
        <w:t>d’autres équipes</w:t>
      </w:r>
      <w:r w:rsidRPr="00870077">
        <w:rPr>
          <w:sz w:val="22"/>
          <w:szCs w:val="22"/>
        </w:rPr>
        <w:t xml:space="preserve">, qui concernent </w:t>
      </w:r>
      <w:r w:rsidRPr="00870077">
        <w:rPr>
          <w:b/>
          <w:sz w:val="22"/>
          <w:szCs w:val="22"/>
        </w:rPr>
        <w:t>des paramètres qui ne font pas partie des séries lab</w:t>
      </w:r>
      <w:r w:rsidR="004564B7" w:rsidRPr="00870077">
        <w:rPr>
          <w:b/>
          <w:sz w:val="22"/>
          <w:szCs w:val="22"/>
        </w:rPr>
        <w:t>ellisées</w:t>
      </w:r>
      <w:r w:rsidR="004564B7" w:rsidRPr="00870077">
        <w:rPr>
          <w:sz w:val="22"/>
          <w:szCs w:val="22"/>
        </w:rPr>
        <w:t xml:space="preserve">, mais qui sont d’un intérêt </w:t>
      </w:r>
      <w:r w:rsidR="00D07DA9">
        <w:rPr>
          <w:sz w:val="22"/>
          <w:szCs w:val="22"/>
        </w:rPr>
        <w:t>majeur</w:t>
      </w:r>
      <w:r w:rsidR="00D07DA9" w:rsidRPr="00870077">
        <w:rPr>
          <w:sz w:val="22"/>
          <w:szCs w:val="22"/>
        </w:rPr>
        <w:t xml:space="preserve"> </w:t>
      </w:r>
      <w:r w:rsidR="004564B7" w:rsidRPr="00870077">
        <w:rPr>
          <w:sz w:val="22"/>
          <w:szCs w:val="22"/>
        </w:rPr>
        <w:t>pour l’interprétation des séries labellisées. On peut penser ici aux données d’états de mer collectées par les houlographes du réseau CANDHIS (CEREMA), à diverses données d’observation de Météo-France (vent, pression atmosphérique…), à d</w:t>
      </w:r>
      <w:r w:rsidR="00440BBE">
        <w:rPr>
          <w:sz w:val="22"/>
          <w:szCs w:val="22"/>
        </w:rPr>
        <w:t xml:space="preserve">es </w:t>
      </w:r>
      <w:r w:rsidR="004564B7" w:rsidRPr="00870077">
        <w:rPr>
          <w:sz w:val="22"/>
          <w:szCs w:val="22"/>
        </w:rPr>
        <w:t xml:space="preserve">données de télédétection </w:t>
      </w:r>
      <w:r w:rsidR="00440BBE">
        <w:rPr>
          <w:sz w:val="22"/>
          <w:szCs w:val="22"/>
        </w:rPr>
        <w:t xml:space="preserve">spatiale </w:t>
      </w:r>
      <w:r w:rsidR="004564B7" w:rsidRPr="00870077">
        <w:rPr>
          <w:sz w:val="22"/>
          <w:szCs w:val="22"/>
        </w:rPr>
        <w:t>(e.g. couleur de l’eau), etc.</w:t>
      </w:r>
    </w:p>
    <w:p w14:paraId="4EC1B8C8" w14:textId="4E79DD5C" w:rsidR="00663939" w:rsidRPr="00870077" w:rsidRDefault="00663939" w:rsidP="00663939">
      <w:pPr>
        <w:spacing w:before="120"/>
        <w:ind w:firstLine="284"/>
        <w:rPr>
          <w:sz w:val="22"/>
          <w:szCs w:val="22"/>
        </w:rPr>
      </w:pPr>
    </w:p>
    <w:p w14:paraId="4EFE957D" w14:textId="790AA9C1" w:rsidR="00551D1C" w:rsidRPr="00870077" w:rsidRDefault="006F049B" w:rsidP="000D60F8">
      <w:pPr>
        <w:autoSpaceDE w:val="0"/>
        <w:autoSpaceDN w:val="0"/>
        <w:adjustRightInd w:val="0"/>
        <w:spacing w:after="120"/>
        <w:ind w:firstLine="425"/>
        <w:jc w:val="both"/>
        <w:rPr>
          <w:sz w:val="22"/>
          <w:szCs w:val="22"/>
        </w:rPr>
      </w:pPr>
      <w:r w:rsidRPr="00870077">
        <w:rPr>
          <w:sz w:val="22"/>
          <w:szCs w:val="22"/>
        </w:rPr>
        <w:t xml:space="preserve">Il n’existe actuellement pas de cadre pour prendre en compte ces données </w:t>
      </w:r>
      <w:r w:rsidR="004E483D">
        <w:rPr>
          <w:sz w:val="22"/>
          <w:szCs w:val="22"/>
        </w:rPr>
        <w:t>de grande</w:t>
      </w:r>
      <w:r w:rsidRPr="00870077">
        <w:rPr>
          <w:sz w:val="22"/>
          <w:szCs w:val="22"/>
        </w:rPr>
        <w:t xml:space="preserve"> valeur scienti</w:t>
      </w:r>
      <w:bookmarkStart w:id="0" w:name="_GoBack"/>
      <w:bookmarkEnd w:id="0"/>
      <w:r w:rsidRPr="00870077">
        <w:rPr>
          <w:sz w:val="22"/>
          <w:szCs w:val="22"/>
        </w:rPr>
        <w:t xml:space="preserve">fique </w:t>
      </w:r>
      <w:r w:rsidR="004E483D">
        <w:rPr>
          <w:sz w:val="22"/>
          <w:szCs w:val="22"/>
        </w:rPr>
        <w:t>pour la communauté ILICO</w:t>
      </w:r>
      <w:r w:rsidRPr="00870077">
        <w:rPr>
          <w:sz w:val="22"/>
          <w:szCs w:val="22"/>
        </w:rPr>
        <w:t>.</w:t>
      </w:r>
      <w:r w:rsidR="00551D1C" w:rsidRPr="00870077">
        <w:rPr>
          <w:sz w:val="22"/>
          <w:szCs w:val="22"/>
        </w:rPr>
        <w:t xml:space="preserve"> Lors du Conseil Scientifique d’ILICO du 20 novembre 2020, il a été convenu de </w:t>
      </w:r>
      <w:r w:rsidR="00A85788">
        <w:rPr>
          <w:sz w:val="22"/>
          <w:szCs w:val="22"/>
        </w:rPr>
        <w:t>cataloguer</w:t>
      </w:r>
      <w:r w:rsidR="004564B7" w:rsidRPr="00870077">
        <w:rPr>
          <w:sz w:val="22"/>
          <w:szCs w:val="22"/>
        </w:rPr>
        <w:t xml:space="preserve"> ces </w:t>
      </w:r>
      <w:r w:rsidR="00623CA2">
        <w:rPr>
          <w:sz w:val="22"/>
          <w:szCs w:val="22"/>
        </w:rPr>
        <w:t>données</w:t>
      </w:r>
      <w:r w:rsidR="00577E7D">
        <w:rPr>
          <w:sz w:val="22"/>
          <w:szCs w:val="22"/>
        </w:rPr>
        <w:t xml:space="preserve"> complémentaires </w:t>
      </w:r>
      <w:r w:rsidR="00623CA2">
        <w:rPr>
          <w:sz w:val="22"/>
          <w:szCs w:val="22"/>
        </w:rPr>
        <w:t>d’intérêt collectif</w:t>
      </w:r>
      <w:r w:rsidR="00551D1C" w:rsidRPr="00870077">
        <w:rPr>
          <w:sz w:val="22"/>
          <w:szCs w:val="22"/>
        </w:rPr>
        <w:t xml:space="preserve">, afin de : </w:t>
      </w:r>
    </w:p>
    <w:p w14:paraId="69DB37D0" w14:textId="77777777" w:rsidR="00D07DA9" w:rsidRPr="00870077" w:rsidRDefault="00D07DA9" w:rsidP="00D07DA9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870077">
        <w:rPr>
          <w:sz w:val="22"/>
          <w:szCs w:val="22"/>
        </w:rPr>
        <w:t>Favoriser la visibilité de ces données en interne et externe ILICO</w:t>
      </w:r>
    </w:p>
    <w:p w14:paraId="55AF0346" w14:textId="6CB96D06" w:rsidR="007661D1" w:rsidRPr="00870077" w:rsidRDefault="000101BE" w:rsidP="00551D1C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870077">
        <w:rPr>
          <w:sz w:val="22"/>
          <w:szCs w:val="22"/>
        </w:rPr>
        <w:t xml:space="preserve">Soutenir </w:t>
      </w:r>
      <w:r w:rsidR="00577E7D" w:rsidRPr="00870077">
        <w:rPr>
          <w:sz w:val="22"/>
          <w:szCs w:val="22"/>
        </w:rPr>
        <w:t>l</w:t>
      </w:r>
      <w:r w:rsidR="00577E7D">
        <w:rPr>
          <w:sz w:val="22"/>
          <w:szCs w:val="22"/>
        </w:rPr>
        <w:t>eur</w:t>
      </w:r>
      <w:r w:rsidR="00577E7D" w:rsidRPr="00870077">
        <w:rPr>
          <w:sz w:val="22"/>
          <w:szCs w:val="22"/>
        </w:rPr>
        <w:t xml:space="preserve"> </w:t>
      </w:r>
      <w:r w:rsidRPr="00870077">
        <w:rPr>
          <w:sz w:val="22"/>
          <w:szCs w:val="22"/>
        </w:rPr>
        <w:t>pérennisation</w:t>
      </w:r>
      <w:r w:rsidR="00551D1C" w:rsidRPr="00870077">
        <w:rPr>
          <w:sz w:val="22"/>
          <w:szCs w:val="22"/>
        </w:rPr>
        <w:t xml:space="preserve"> </w:t>
      </w:r>
      <w:r w:rsidRPr="00870077">
        <w:rPr>
          <w:sz w:val="22"/>
          <w:szCs w:val="22"/>
        </w:rPr>
        <w:t>auprès des organismes concernés</w:t>
      </w:r>
      <w:r w:rsidR="00751DE7">
        <w:rPr>
          <w:sz w:val="22"/>
          <w:szCs w:val="22"/>
        </w:rPr>
        <w:t xml:space="preserve"> </w:t>
      </w:r>
      <w:r w:rsidRPr="00870077">
        <w:rPr>
          <w:sz w:val="22"/>
          <w:szCs w:val="22"/>
        </w:rPr>
        <w:t>(opérateurs et/ou financeurs) ;</w:t>
      </w:r>
    </w:p>
    <w:p w14:paraId="009C0C0C" w14:textId="33A67550" w:rsidR="000101BE" w:rsidRPr="00870077" w:rsidRDefault="000101BE" w:rsidP="00551D1C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870077">
        <w:rPr>
          <w:sz w:val="22"/>
          <w:szCs w:val="22"/>
        </w:rPr>
        <w:t>Associer les équipes opératrices</w:t>
      </w:r>
      <w:r w:rsidR="00551D1C" w:rsidRPr="00870077">
        <w:rPr>
          <w:sz w:val="22"/>
          <w:szCs w:val="22"/>
        </w:rPr>
        <w:t xml:space="preserve"> de ces données</w:t>
      </w:r>
      <w:r w:rsidRPr="00870077">
        <w:rPr>
          <w:sz w:val="22"/>
          <w:szCs w:val="22"/>
        </w:rPr>
        <w:t xml:space="preserve"> aux actions d’animation scientifique d’ILICO et de ses SNO ;</w:t>
      </w:r>
    </w:p>
    <w:p w14:paraId="60B1465D" w14:textId="342DE345" w:rsidR="003D0A24" w:rsidRPr="00870077" w:rsidRDefault="003D0A24" w:rsidP="00551D1C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870077">
        <w:rPr>
          <w:sz w:val="22"/>
          <w:szCs w:val="22"/>
        </w:rPr>
        <w:t xml:space="preserve">Favoriser les échanges d’expérience (protocoles de collecte et d’analyse d’échantillons, de contrôle qualité…), </w:t>
      </w:r>
    </w:p>
    <w:p w14:paraId="0B72EC27" w14:textId="77777777" w:rsidR="00870077" w:rsidRPr="00870077" w:rsidRDefault="00870077" w:rsidP="00870077">
      <w:pPr>
        <w:jc w:val="both"/>
        <w:rPr>
          <w:sz w:val="22"/>
          <w:szCs w:val="22"/>
        </w:rPr>
      </w:pPr>
    </w:p>
    <w:p w14:paraId="0EAED7B4" w14:textId="73D84C5F" w:rsidR="003D0A24" w:rsidRPr="00751DE7" w:rsidRDefault="00751DE7" w:rsidP="00751DE7">
      <w:pPr>
        <w:pStyle w:val="Paragraphedeliste"/>
        <w:numPr>
          <w:ilvl w:val="0"/>
          <w:numId w:val="19"/>
        </w:numPr>
        <w:spacing w:before="120"/>
        <w:rPr>
          <w:b/>
          <w:sz w:val="22"/>
          <w:szCs w:val="22"/>
        </w:rPr>
      </w:pPr>
      <w:r w:rsidRPr="00751DE7">
        <w:rPr>
          <w:b/>
          <w:sz w:val="22"/>
          <w:szCs w:val="22"/>
        </w:rPr>
        <w:t xml:space="preserve">Critères pour inscrire des séries </w:t>
      </w:r>
      <w:r w:rsidR="00623CA2">
        <w:rPr>
          <w:b/>
          <w:sz w:val="22"/>
          <w:szCs w:val="22"/>
        </w:rPr>
        <w:t xml:space="preserve">de données </w:t>
      </w:r>
      <w:r w:rsidRPr="00751DE7">
        <w:rPr>
          <w:b/>
          <w:sz w:val="22"/>
          <w:szCs w:val="22"/>
        </w:rPr>
        <w:t>au catalogue</w:t>
      </w:r>
      <w:r w:rsidR="00623CA2">
        <w:rPr>
          <w:b/>
          <w:sz w:val="22"/>
          <w:szCs w:val="22"/>
        </w:rPr>
        <w:t xml:space="preserve"> des</w:t>
      </w:r>
      <w:r w:rsidRPr="00751D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‘</w:t>
      </w:r>
      <w:r w:rsidRPr="00751DE7">
        <w:rPr>
          <w:b/>
          <w:sz w:val="22"/>
          <w:szCs w:val="22"/>
        </w:rPr>
        <w:t xml:space="preserve">Données complémentaires </w:t>
      </w:r>
      <w:r w:rsidR="00623CA2">
        <w:rPr>
          <w:b/>
          <w:sz w:val="22"/>
          <w:szCs w:val="22"/>
        </w:rPr>
        <w:t xml:space="preserve">d’intérêt collectif pour </w:t>
      </w:r>
      <w:r w:rsidRPr="00751DE7">
        <w:rPr>
          <w:b/>
          <w:sz w:val="22"/>
          <w:szCs w:val="22"/>
        </w:rPr>
        <w:t>ILICO</w:t>
      </w:r>
      <w:r>
        <w:rPr>
          <w:b/>
          <w:sz w:val="22"/>
          <w:szCs w:val="22"/>
        </w:rPr>
        <w:t>’</w:t>
      </w:r>
    </w:p>
    <w:p w14:paraId="0E482CB1" w14:textId="01E7479D" w:rsidR="007661D1" w:rsidRPr="00870077" w:rsidRDefault="007661D1" w:rsidP="005471D9">
      <w:pPr>
        <w:rPr>
          <w:rFonts w:cs="Times New Roman"/>
          <w:sz w:val="22"/>
          <w:szCs w:val="22"/>
        </w:rPr>
      </w:pPr>
    </w:p>
    <w:p w14:paraId="26CFCA01" w14:textId="2C5B6986" w:rsidR="00EB0EBC" w:rsidRPr="00751DE7" w:rsidRDefault="00551D1C" w:rsidP="005471D9">
      <w:r w:rsidRPr="00751DE7">
        <w:rPr>
          <w:rFonts w:cs="Times New Roman"/>
          <w:sz w:val="22"/>
          <w:szCs w:val="22"/>
        </w:rPr>
        <w:t>Pour</w:t>
      </w:r>
      <w:r w:rsidR="00EB0EBC" w:rsidRPr="00751DE7">
        <w:rPr>
          <w:rFonts w:cs="Times New Roman"/>
          <w:sz w:val="22"/>
          <w:szCs w:val="22"/>
        </w:rPr>
        <w:t xml:space="preserve"> </w:t>
      </w:r>
      <w:r w:rsidR="00751DE7" w:rsidRPr="0085200F">
        <w:rPr>
          <w:sz w:val="22"/>
          <w:szCs w:val="22"/>
        </w:rPr>
        <w:t>inscrire des séries au</w:t>
      </w:r>
      <w:r w:rsidR="00751DE7" w:rsidRPr="00751DE7">
        <w:rPr>
          <w:b/>
          <w:sz w:val="22"/>
          <w:szCs w:val="22"/>
        </w:rPr>
        <w:t xml:space="preserve"> </w:t>
      </w:r>
      <w:r w:rsidR="00751DE7" w:rsidRPr="0085200F">
        <w:rPr>
          <w:sz w:val="22"/>
          <w:szCs w:val="22"/>
        </w:rPr>
        <w:t xml:space="preserve">catalogue </w:t>
      </w:r>
      <w:r w:rsidR="00623CA2" w:rsidRPr="0085200F">
        <w:rPr>
          <w:sz w:val="22"/>
          <w:szCs w:val="22"/>
        </w:rPr>
        <w:t>‘Données complémentaires d’intérêt collectif pour ILICO</w:t>
      </w:r>
      <w:r w:rsidR="0085200F" w:rsidRPr="0085200F">
        <w:rPr>
          <w:sz w:val="22"/>
          <w:szCs w:val="22"/>
        </w:rPr>
        <w:t>’</w:t>
      </w:r>
      <w:r w:rsidR="00EB0EBC" w:rsidRPr="0085200F">
        <w:rPr>
          <w:color w:val="000000" w:themeColor="text1"/>
          <w:sz w:val="22"/>
          <w:szCs w:val="22"/>
          <w:lang w:bidi="fr-FR"/>
        </w:rPr>
        <w:t>,</w:t>
      </w:r>
      <w:r w:rsidR="00EB0EBC" w:rsidRPr="00870077">
        <w:rPr>
          <w:color w:val="000000" w:themeColor="text1"/>
          <w:sz w:val="22"/>
          <w:szCs w:val="22"/>
          <w:lang w:bidi="fr-FR"/>
        </w:rPr>
        <w:t xml:space="preserve"> il est attendu que :</w:t>
      </w:r>
    </w:p>
    <w:p w14:paraId="73D8D947" w14:textId="77777777" w:rsidR="00EB0EBC" w:rsidRPr="00870077" w:rsidRDefault="00EB0EBC" w:rsidP="005471D9">
      <w:pPr>
        <w:rPr>
          <w:color w:val="000000" w:themeColor="text1"/>
          <w:sz w:val="22"/>
          <w:szCs w:val="22"/>
          <w:lang w:bidi="fr-FR"/>
        </w:rPr>
      </w:pPr>
    </w:p>
    <w:p w14:paraId="0D79252B" w14:textId="180997F0" w:rsidR="00EB0EBC" w:rsidRPr="00870077" w:rsidRDefault="00EB0EBC" w:rsidP="000D60F8">
      <w:pPr>
        <w:pStyle w:val="Paragraphedeliste"/>
        <w:numPr>
          <w:ilvl w:val="0"/>
          <w:numId w:val="21"/>
        </w:numPr>
        <w:jc w:val="both"/>
        <w:rPr>
          <w:color w:val="000000" w:themeColor="text1"/>
          <w:sz w:val="22"/>
          <w:szCs w:val="22"/>
          <w:lang w:bidi="fr-FR"/>
        </w:rPr>
      </w:pPr>
      <w:r w:rsidRPr="00870077">
        <w:rPr>
          <w:color w:val="000000" w:themeColor="text1"/>
          <w:sz w:val="22"/>
          <w:szCs w:val="22"/>
          <w:lang w:bidi="fr-FR"/>
        </w:rPr>
        <w:t>Les données soient produites par une communauté structurée</w:t>
      </w:r>
      <w:r w:rsidR="00C76F65" w:rsidRPr="00870077">
        <w:rPr>
          <w:color w:val="000000" w:themeColor="text1"/>
          <w:sz w:val="22"/>
          <w:szCs w:val="22"/>
          <w:lang w:bidi="fr-FR"/>
        </w:rPr>
        <w:t xml:space="preserve"> avec, a minima, pour chaque jeu de données :</w:t>
      </w:r>
    </w:p>
    <w:p w14:paraId="5965E92B" w14:textId="077A25A8" w:rsidR="007661D1" w:rsidRDefault="00EB0EBC" w:rsidP="000D60F8">
      <w:pPr>
        <w:pStyle w:val="Paragraphedeliste"/>
        <w:numPr>
          <w:ilvl w:val="1"/>
          <w:numId w:val="21"/>
        </w:numPr>
        <w:jc w:val="both"/>
        <w:rPr>
          <w:color w:val="000000" w:themeColor="text1"/>
          <w:sz w:val="22"/>
          <w:szCs w:val="22"/>
          <w:lang w:bidi="fr-FR"/>
        </w:rPr>
      </w:pPr>
      <w:proofErr w:type="gramStart"/>
      <w:r w:rsidRPr="00870077">
        <w:rPr>
          <w:color w:val="000000" w:themeColor="text1"/>
          <w:sz w:val="22"/>
          <w:szCs w:val="22"/>
          <w:lang w:bidi="fr-FR"/>
        </w:rPr>
        <w:t>un</w:t>
      </w:r>
      <w:proofErr w:type="gramEnd"/>
      <w:r w:rsidRPr="00870077">
        <w:rPr>
          <w:color w:val="000000" w:themeColor="text1"/>
          <w:sz w:val="22"/>
          <w:szCs w:val="22"/>
          <w:lang w:bidi="fr-FR"/>
        </w:rPr>
        <w:t xml:space="preserve"> interlocuteur </w:t>
      </w:r>
      <w:r w:rsidR="00534E04">
        <w:rPr>
          <w:color w:val="000000" w:themeColor="text1"/>
          <w:sz w:val="22"/>
          <w:szCs w:val="22"/>
          <w:lang w:bidi="fr-FR"/>
        </w:rPr>
        <w:t>central (l’investigateur principal ou « PI »)</w:t>
      </w:r>
      <w:r w:rsidR="00C76F65" w:rsidRPr="00870077">
        <w:rPr>
          <w:color w:val="000000" w:themeColor="text1"/>
          <w:sz w:val="22"/>
          <w:szCs w:val="22"/>
          <w:lang w:bidi="fr-FR"/>
        </w:rPr>
        <w:t xml:space="preserve">, </w:t>
      </w:r>
      <w:r w:rsidR="00440BBE">
        <w:rPr>
          <w:color w:val="000000" w:themeColor="text1"/>
          <w:sz w:val="22"/>
          <w:szCs w:val="22"/>
          <w:lang w:bidi="fr-FR"/>
        </w:rPr>
        <w:t xml:space="preserve">en position pérenne, </w:t>
      </w:r>
      <w:r w:rsidRPr="00870077">
        <w:rPr>
          <w:color w:val="000000" w:themeColor="text1"/>
          <w:sz w:val="22"/>
          <w:szCs w:val="22"/>
          <w:lang w:bidi="fr-FR"/>
        </w:rPr>
        <w:t xml:space="preserve">responsable de la coordination du cycle de la donnée, des objectifs scientifiques, des </w:t>
      </w:r>
      <w:r w:rsidR="00E454DE" w:rsidRPr="00870077">
        <w:rPr>
          <w:color w:val="000000" w:themeColor="text1"/>
          <w:sz w:val="22"/>
          <w:szCs w:val="22"/>
          <w:lang w:bidi="fr-FR"/>
        </w:rPr>
        <w:t>ressources</w:t>
      </w:r>
      <w:r w:rsidRPr="00870077">
        <w:rPr>
          <w:color w:val="000000" w:themeColor="text1"/>
          <w:sz w:val="22"/>
          <w:szCs w:val="22"/>
          <w:lang w:bidi="fr-FR"/>
        </w:rPr>
        <w:t xml:space="preserve"> associées </w:t>
      </w:r>
    </w:p>
    <w:p w14:paraId="1EF5B053" w14:textId="4A7EEB3C" w:rsidR="00623CA2" w:rsidRPr="00623CA2" w:rsidRDefault="00623CA2" w:rsidP="000D60F8">
      <w:pPr>
        <w:pStyle w:val="Paragraphedeliste"/>
        <w:numPr>
          <w:ilvl w:val="1"/>
          <w:numId w:val="21"/>
        </w:numPr>
        <w:jc w:val="both"/>
        <w:rPr>
          <w:color w:val="000000" w:themeColor="text1"/>
          <w:sz w:val="22"/>
          <w:szCs w:val="22"/>
          <w:lang w:bidi="fr-FR"/>
        </w:rPr>
      </w:pPr>
      <w:proofErr w:type="gramStart"/>
      <w:r w:rsidRPr="00870077">
        <w:rPr>
          <w:color w:val="000000" w:themeColor="text1"/>
          <w:sz w:val="22"/>
          <w:szCs w:val="22"/>
          <w:lang w:bidi="fr-FR"/>
        </w:rPr>
        <w:t>un</w:t>
      </w:r>
      <w:proofErr w:type="gramEnd"/>
      <w:r w:rsidRPr="00870077">
        <w:rPr>
          <w:color w:val="000000" w:themeColor="text1"/>
          <w:sz w:val="22"/>
          <w:szCs w:val="22"/>
          <w:lang w:bidi="fr-FR"/>
        </w:rPr>
        <w:t xml:space="preserve"> responsable pour chacune des étapes associées au cycle de la donnée (acquisition, traitement, analyse, conservation, visualisation, accès)</w:t>
      </w:r>
    </w:p>
    <w:p w14:paraId="759FAD95" w14:textId="46B209AE" w:rsidR="00EB0EBC" w:rsidRPr="00870077" w:rsidRDefault="00EB0EBC" w:rsidP="000D60F8">
      <w:pPr>
        <w:pStyle w:val="Paragraphedeliste"/>
        <w:numPr>
          <w:ilvl w:val="0"/>
          <w:numId w:val="21"/>
        </w:numPr>
        <w:jc w:val="both"/>
        <w:rPr>
          <w:color w:val="000000" w:themeColor="text1"/>
          <w:sz w:val="22"/>
          <w:szCs w:val="22"/>
          <w:lang w:bidi="fr-FR"/>
        </w:rPr>
      </w:pPr>
      <w:r w:rsidRPr="00870077">
        <w:rPr>
          <w:color w:val="000000" w:themeColor="text1"/>
          <w:sz w:val="22"/>
          <w:szCs w:val="22"/>
          <w:lang w:bidi="fr-FR"/>
        </w:rPr>
        <w:t xml:space="preserve">Les données </w:t>
      </w:r>
      <w:r w:rsidR="004D2683">
        <w:rPr>
          <w:color w:val="000000" w:themeColor="text1"/>
          <w:sz w:val="22"/>
          <w:szCs w:val="22"/>
          <w:lang w:bidi="fr-FR"/>
        </w:rPr>
        <w:t>doivent avoir une certaine représentativité spatiale qui leur confère un intérêt « </w:t>
      </w:r>
      <w:r w:rsidR="004E483D">
        <w:rPr>
          <w:color w:val="000000" w:themeColor="text1"/>
          <w:sz w:val="22"/>
          <w:szCs w:val="22"/>
          <w:lang w:bidi="fr-FR"/>
        </w:rPr>
        <w:t>au-delà du</w:t>
      </w:r>
      <w:r w:rsidR="004D2683">
        <w:rPr>
          <w:color w:val="000000" w:themeColor="text1"/>
          <w:sz w:val="22"/>
          <w:szCs w:val="22"/>
          <w:lang w:bidi="fr-FR"/>
        </w:rPr>
        <w:t xml:space="preserve"> local »</w:t>
      </w:r>
      <w:r w:rsidR="004E483D">
        <w:rPr>
          <w:color w:val="000000" w:themeColor="text1"/>
          <w:sz w:val="22"/>
          <w:szCs w:val="22"/>
          <w:lang w:bidi="fr-FR"/>
        </w:rPr>
        <w:t xml:space="preserve"> (e.g</w:t>
      </w:r>
      <w:r w:rsidR="000D60F8">
        <w:rPr>
          <w:color w:val="000000" w:themeColor="text1"/>
          <w:sz w:val="22"/>
          <w:szCs w:val="22"/>
          <w:lang w:bidi="fr-FR"/>
        </w:rPr>
        <w:t>.</w:t>
      </w:r>
      <w:r w:rsidR="004E483D">
        <w:rPr>
          <w:color w:val="000000" w:themeColor="text1"/>
          <w:sz w:val="22"/>
          <w:szCs w:val="22"/>
          <w:lang w:bidi="fr-FR"/>
        </w:rPr>
        <w:t xml:space="preserve"> façade, type d’écosystème…)</w:t>
      </w:r>
      <w:r w:rsidR="004D2683">
        <w:rPr>
          <w:color w:val="000000" w:themeColor="text1"/>
          <w:sz w:val="22"/>
          <w:szCs w:val="22"/>
          <w:lang w:bidi="fr-FR"/>
        </w:rPr>
        <w:t>.</w:t>
      </w:r>
    </w:p>
    <w:p w14:paraId="2011D54F" w14:textId="701EFCF3" w:rsidR="00932A8A" w:rsidRDefault="00EB0EBC" w:rsidP="000D60F8">
      <w:pPr>
        <w:pStyle w:val="Paragraphedeliste"/>
        <w:numPr>
          <w:ilvl w:val="0"/>
          <w:numId w:val="21"/>
        </w:numPr>
        <w:jc w:val="both"/>
        <w:rPr>
          <w:color w:val="000000" w:themeColor="text1"/>
          <w:sz w:val="22"/>
          <w:szCs w:val="22"/>
          <w:lang w:bidi="fr-FR"/>
        </w:rPr>
      </w:pPr>
      <w:r w:rsidRPr="00870077">
        <w:rPr>
          <w:color w:val="000000" w:themeColor="text1"/>
          <w:sz w:val="22"/>
          <w:szCs w:val="22"/>
          <w:lang w:bidi="fr-FR"/>
        </w:rPr>
        <w:t xml:space="preserve">Les </w:t>
      </w:r>
      <w:r w:rsidR="000D60F8">
        <w:rPr>
          <w:color w:val="000000" w:themeColor="text1"/>
          <w:sz w:val="22"/>
          <w:szCs w:val="22"/>
          <w:lang w:bidi="fr-FR"/>
        </w:rPr>
        <w:t>données sont collectées</w:t>
      </w:r>
      <w:r w:rsidR="00652769">
        <w:rPr>
          <w:color w:val="000000" w:themeColor="text1"/>
          <w:sz w:val="22"/>
          <w:szCs w:val="22"/>
          <w:lang w:bidi="fr-FR"/>
        </w:rPr>
        <w:t xml:space="preserve"> </w:t>
      </w:r>
      <w:r w:rsidR="000D60F8" w:rsidRPr="00652769">
        <w:rPr>
          <w:sz w:val="22"/>
        </w:rPr>
        <w:t xml:space="preserve">dans une stratégie de suivi </w:t>
      </w:r>
      <w:r w:rsidR="000D60F8" w:rsidRPr="00652769">
        <w:rPr>
          <w:sz w:val="22"/>
          <w:szCs w:val="22"/>
        </w:rPr>
        <w:t>temporel</w:t>
      </w:r>
      <w:r w:rsidR="00652769" w:rsidRPr="00652769">
        <w:rPr>
          <w:sz w:val="22"/>
          <w:szCs w:val="22"/>
        </w:rPr>
        <w:t>, avec des moyens qui</w:t>
      </w:r>
      <w:r w:rsidRPr="00652769">
        <w:rPr>
          <w:color w:val="000000" w:themeColor="text1"/>
          <w:sz w:val="22"/>
          <w:szCs w:val="22"/>
          <w:lang w:bidi="fr-FR"/>
        </w:rPr>
        <w:t xml:space="preserve"> garantissent leur production</w:t>
      </w:r>
      <w:r w:rsidR="00440BBE" w:rsidRPr="00652769">
        <w:rPr>
          <w:color w:val="000000" w:themeColor="text1"/>
          <w:sz w:val="22"/>
          <w:szCs w:val="22"/>
          <w:lang w:bidi="fr-FR"/>
        </w:rPr>
        <w:t>, leur qualification</w:t>
      </w:r>
      <w:r w:rsidR="00A505FD" w:rsidRPr="00652769">
        <w:rPr>
          <w:color w:val="000000" w:themeColor="text1"/>
          <w:sz w:val="22"/>
          <w:szCs w:val="22"/>
          <w:lang w:bidi="fr-FR"/>
        </w:rPr>
        <w:t xml:space="preserve"> et leur diffusion</w:t>
      </w:r>
      <w:r w:rsidR="00932A8A" w:rsidRPr="00870077">
        <w:rPr>
          <w:color w:val="000000" w:themeColor="text1"/>
          <w:sz w:val="22"/>
          <w:szCs w:val="22"/>
          <w:lang w:bidi="fr-FR"/>
        </w:rPr>
        <w:t xml:space="preserve"> de manière pérenne</w:t>
      </w:r>
      <w:r w:rsidR="0085200F">
        <w:rPr>
          <w:color w:val="000000" w:themeColor="text1"/>
          <w:sz w:val="22"/>
          <w:szCs w:val="22"/>
          <w:lang w:bidi="fr-FR"/>
        </w:rPr>
        <w:t xml:space="preserve"> (au minimum, sur plusieurs années)</w:t>
      </w:r>
      <w:r w:rsidRPr="00870077">
        <w:rPr>
          <w:color w:val="000000" w:themeColor="text1"/>
          <w:sz w:val="22"/>
          <w:szCs w:val="22"/>
          <w:lang w:bidi="fr-FR"/>
        </w:rPr>
        <w:t xml:space="preserve">. </w:t>
      </w:r>
    </w:p>
    <w:p w14:paraId="0C7BAACF" w14:textId="575BB36E" w:rsidR="00E454DE" w:rsidRPr="00E454DE" w:rsidRDefault="00E454DE" w:rsidP="000D60F8">
      <w:pPr>
        <w:pStyle w:val="Paragraphedeliste"/>
        <w:numPr>
          <w:ilvl w:val="0"/>
          <w:numId w:val="21"/>
        </w:numPr>
        <w:jc w:val="both"/>
        <w:rPr>
          <w:color w:val="000000" w:themeColor="text1"/>
          <w:sz w:val="22"/>
          <w:szCs w:val="22"/>
          <w:lang w:bidi="fr-FR"/>
        </w:rPr>
      </w:pPr>
      <w:r w:rsidRPr="00870077">
        <w:rPr>
          <w:sz w:val="22"/>
          <w:szCs w:val="22"/>
        </w:rPr>
        <w:t>Les données so</w:t>
      </w:r>
      <w:r>
        <w:rPr>
          <w:sz w:val="22"/>
          <w:szCs w:val="22"/>
        </w:rPr>
        <w:t>ie</w:t>
      </w:r>
      <w:r w:rsidRPr="00870077">
        <w:rPr>
          <w:sz w:val="22"/>
          <w:szCs w:val="22"/>
        </w:rPr>
        <w:t>nt disponibles sous licence ouverte, via une plateforme publique</w:t>
      </w:r>
      <w:r w:rsidR="004D2683">
        <w:rPr>
          <w:sz w:val="22"/>
          <w:szCs w:val="22"/>
        </w:rPr>
        <w:t> ;</w:t>
      </w:r>
    </w:p>
    <w:p w14:paraId="605832F9" w14:textId="23A7F2B7" w:rsidR="00932A8A" w:rsidRPr="00870077" w:rsidRDefault="00932A8A" w:rsidP="000D60F8">
      <w:pPr>
        <w:pStyle w:val="Paragraphedeliste"/>
        <w:numPr>
          <w:ilvl w:val="0"/>
          <w:numId w:val="21"/>
        </w:numPr>
        <w:jc w:val="both"/>
        <w:rPr>
          <w:color w:val="000000" w:themeColor="text1"/>
          <w:sz w:val="22"/>
          <w:szCs w:val="22"/>
          <w:lang w:bidi="fr-FR"/>
        </w:rPr>
      </w:pPr>
      <w:r w:rsidRPr="00870077">
        <w:rPr>
          <w:sz w:val="22"/>
          <w:szCs w:val="22"/>
        </w:rPr>
        <w:t>Les d</w:t>
      </w:r>
      <w:r w:rsidR="00EB0EBC" w:rsidRPr="00870077">
        <w:rPr>
          <w:sz w:val="22"/>
          <w:szCs w:val="22"/>
        </w:rPr>
        <w:t>onnée</w:t>
      </w:r>
      <w:r w:rsidRPr="00870077">
        <w:rPr>
          <w:sz w:val="22"/>
          <w:szCs w:val="22"/>
        </w:rPr>
        <w:t>s</w:t>
      </w:r>
      <w:r w:rsidR="00EB0EBC" w:rsidRPr="00870077">
        <w:rPr>
          <w:sz w:val="22"/>
          <w:szCs w:val="22"/>
        </w:rPr>
        <w:t xml:space="preserve"> </w:t>
      </w:r>
      <w:r w:rsidR="00E454DE">
        <w:rPr>
          <w:sz w:val="22"/>
          <w:szCs w:val="22"/>
        </w:rPr>
        <w:t xml:space="preserve">mises à disposition </w:t>
      </w:r>
      <w:r w:rsidRPr="00870077">
        <w:rPr>
          <w:sz w:val="22"/>
          <w:szCs w:val="22"/>
        </w:rPr>
        <w:t>so</w:t>
      </w:r>
      <w:r w:rsidR="00E454DE">
        <w:rPr>
          <w:sz w:val="22"/>
          <w:szCs w:val="22"/>
        </w:rPr>
        <w:t>ie</w:t>
      </w:r>
      <w:r w:rsidRPr="00870077">
        <w:rPr>
          <w:sz w:val="22"/>
          <w:szCs w:val="22"/>
        </w:rPr>
        <w:t xml:space="preserve">nt </w:t>
      </w:r>
      <w:r w:rsidR="00EB0EBC" w:rsidRPr="00870077">
        <w:rPr>
          <w:sz w:val="22"/>
          <w:szCs w:val="22"/>
        </w:rPr>
        <w:t>qualifiée</w:t>
      </w:r>
      <w:r w:rsidRPr="00870077">
        <w:rPr>
          <w:sz w:val="22"/>
          <w:szCs w:val="22"/>
        </w:rPr>
        <w:t>s, documentées</w:t>
      </w:r>
      <w:r w:rsidR="00EB0EBC" w:rsidRPr="00870077">
        <w:rPr>
          <w:sz w:val="22"/>
          <w:szCs w:val="22"/>
        </w:rPr>
        <w:t xml:space="preserve">, et </w:t>
      </w:r>
      <w:r w:rsidR="004D2683">
        <w:rPr>
          <w:sz w:val="22"/>
          <w:szCs w:val="22"/>
        </w:rPr>
        <w:t>aisément</w:t>
      </w:r>
      <w:r w:rsidR="00EB0EBC" w:rsidRPr="00870077">
        <w:rPr>
          <w:sz w:val="22"/>
          <w:szCs w:val="22"/>
        </w:rPr>
        <w:t xml:space="preserve"> exploitable</w:t>
      </w:r>
      <w:r w:rsidRPr="00870077">
        <w:rPr>
          <w:sz w:val="22"/>
          <w:szCs w:val="22"/>
        </w:rPr>
        <w:t>s</w:t>
      </w:r>
      <w:r w:rsidR="004D2683">
        <w:rPr>
          <w:sz w:val="22"/>
          <w:szCs w:val="22"/>
        </w:rPr>
        <w:t> ;</w:t>
      </w:r>
    </w:p>
    <w:p w14:paraId="03570401" w14:textId="6A66C6DC" w:rsidR="00932A8A" w:rsidRPr="00870077" w:rsidRDefault="00D82496" w:rsidP="000D60F8">
      <w:pPr>
        <w:pStyle w:val="Paragraphedeliste"/>
        <w:numPr>
          <w:ilvl w:val="0"/>
          <w:numId w:val="21"/>
        </w:numPr>
        <w:jc w:val="both"/>
        <w:rPr>
          <w:color w:val="000000" w:themeColor="text1"/>
          <w:sz w:val="22"/>
          <w:szCs w:val="22"/>
          <w:lang w:bidi="fr-FR"/>
        </w:rPr>
      </w:pPr>
      <w:proofErr w:type="gramStart"/>
      <w:r w:rsidRPr="00870077">
        <w:rPr>
          <w:sz w:val="22"/>
          <w:szCs w:val="22"/>
        </w:rPr>
        <w:t>l</w:t>
      </w:r>
      <w:r w:rsidR="00932A8A" w:rsidRPr="00870077">
        <w:rPr>
          <w:sz w:val="22"/>
          <w:szCs w:val="22"/>
        </w:rPr>
        <w:t>a</w:t>
      </w:r>
      <w:proofErr w:type="gramEnd"/>
      <w:r w:rsidR="00932A8A" w:rsidRPr="00870077">
        <w:rPr>
          <w:sz w:val="22"/>
          <w:szCs w:val="22"/>
        </w:rPr>
        <w:t xml:space="preserve"> plus-value à rejoindre la communauté ILICO </w:t>
      </w:r>
      <w:r w:rsidRPr="00870077">
        <w:rPr>
          <w:sz w:val="22"/>
          <w:szCs w:val="22"/>
        </w:rPr>
        <w:t>soit claire</w:t>
      </w:r>
      <w:r w:rsidR="004D2683">
        <w:rPr>
          <w:sz w:val="22"/>
          <w:szCs w:val="22"/>
        </w:rPr>
        <w:t>.</w:t>
      </w:r>
    </w:p>
    <w:p w14:paraId="6305655F" w14:textId="517C1A36" w:rsidR="00932A8A" w:rsidRPr="00870077" w:rsidRDefault="00932A8A" w:rsidP="004D2683">
      <w:pPr>
        <w:jc w:val="both"/>
        <w:rPr>
          <w:sz w:val="22"/>
          <w:szCs w:val="22"/>
        </w:rPr>
      </w:pPr>
    </w:p>
    <w:p w14:paraId="41631BAE" w14:textId="1D699430" w:rsidR="00D82496" w:rsidRPr="0085200F" w:rsidRDefault="00D82496" w:rsidP="004E2B56">
      <w:pPr>
        <w:pStyle w:val="Paragraphedeliste"/>
        <w:numPr>
          <w:ilvl w:val="0"/>
          <w:numId w:val="19"/>
        </w:numPr>
        <w:spacing w:before="120"/>
        <w:rPr>
          <w:sz w:val="22"/>
          <w:szCs w:val="22"/>
        </w:rPr>
      </w:pPr>
      <w:r w:rsidRPr="0085200F">
        <w:rPr>
          <w:rFonts w:cs="Times New Roman"/>
          <w:b/>
          <w:bCs/>
          <w:sz w:val="22"/>
          <w:szCs w:val="22"/>
        </w:rPr>
        <w:t xml:space="preserve">Bénéfices associés à </w:t>
      </w:r>
      <w:r w:rsidR="00B26B00" w:rsidRPr="0085200F">
        <w:rPr>
          <w:rFonts w:cs="Times New Roman"/>
          <w:b/>
          <w:bCs/>
          <w:sz w:val="22"/>
          <w:szCs w:val="22"/>
        </w:rPr>
        <w:t>l’inscription au</w:t>
      </w:r>
      <w:r w:rsidR="0085200F" w:rsidRPr="0085200F">
        <w:rPr>
          <w:rFonts w:cs="Times New Roman"/>
          <w:b/>
          <w:bCs/>
          <w:sz w:val="22"/>
          <w:szCs w:val="22"/>
        </w:rPr>
        <w:t xml:space="preserve"> catalogue ‘Données complémentaires d’intérêt collectif pour ILICO’</w:t>
      </w:r>
    </w:p>
    <w:p w14:paraId="20024647" w14:textId="124ED90E" w:rsidR="0085200F" w:rsidRDefault="0085200F" w:rsidP="0085200F">
      <w:pPr>
        <w:pStyle w:val="Paragraphedeliste"/>
        <w:spacing w:before="120"/>
        <w:ind w:left="644"/>
        <w:rPr>
          <w:sz w:val="22"/>
          <w:szCs w:val="22"/>
        </w:rPr>
      </w:pPr>
    </w:p>
    <w:p w14:paraId="35DCE511" w14:textId="557C1AAD" w:rsidR="0085200F" w:rsidRDefault="0085200F" w:rsidP="00652769">
      <w:pPr>
        <w:pStyle w:val="Paragraphedeliste"/>
        <w:spacing w:before="120" w:after="120"/>
        <w:ind w:left="0" w:firstLine="284"/>
        <w:rPr>
          <w:sz w:val="22"/>
          <w:szCs w:val="22"/>
        </w:rPr>
      </w:pPr>
      <w:r>
        <w:rPr>
          <w:sz w:val="22"/>
          <w:szCs w:val="22"/>
        </w:rPr>
        <w:t>Pour les équipes porteuses de la collecte de ces données, les bénéfices de ce processus peuvent être les suivants</w:t>
      </w:r>
      <w:r w:rsidR="00652769">
        <w:rPr>
          <w:sz w:val="22"/>
          <w:szCs w:val="22"/>
        </w:rPr>
        <w:t xml:space="preserve"> (liste non exhaustive)</w:t>
      </w:r>
      <w:r>
        <w:rPr>
          <w:sz w:val="22"/>
          <w:szCs w:val="22"/>
        </w:rPr>
        <w:t xml:space="preserve"> : </w:t>
      </w:r>
    </w:p>
    <w:p w14:paraId="15183039" w14:textId="77777777" w:rsidR="00652769" w:rsidRPr="00652769" w:rsidRDefault="00652769" w:rsidP="00652769">
      <w:pPr>
        <w:pStyle w:val="Paragraphedeliste"/>
        <w:spacing w:before="120" w:after="120"/>
        <w:ind w:left="0" w:firstLine="284"/>
        <w:rPr>
          <w:sz w:val="22"/>
          <w:szCs w:val="22"/>
        </w:rPr>
      </w:pPr>
    </w:p>
    <w:p w14:paraId="4992D2E0" w14:textId="252D34C3" w:rsidR="00D82496" w:rsidRPr="00870077" w:rsidRDefault="00652769" w:rsidP="00652769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Participation</w:t>
      </w:r>
      <w:r w:rsidR="00D82496" w:rsidRPr="00870077">
        <w:rPr>
          <w:sz w:val="22"/>
          <w:szCs w:val="22"/>
        </w:rPr>
        <w:t xml:space="preserve"> aux animations scientifiques transverses d’ILICO</w:t>
      </w:r>
      <w:r>
        <w:rPr>
          <w:sz w:val="22"/>
          <w:szCs w:val="22"/>
        </w:rPr>
        <w:t>, à son colloque annuel, à son réseau d’information (newsletter etc.)</w:t>
      </w:r>
      <w:r w:rsidR="004E483D">
        <w:rPr>
          <w:sz w:val="22"/>
          <w:szCs w:val="22"/>
        </w:rPr>
        <w:t> ;</w:t>
      </w:r>
    </w:p>
    <w:p w14:paraId="29EE2D38" w14:textId="6A9A494A" w:rsidR="00D82496" w:rsidRPr="00870077" w:rsidRDefault="00D82496" w:rsidP="00652769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 w:rsidRPr="00870077">
        <w:rPr>
          <w:sz w:val="22"/>
          <w:szCs w:val="22"/>
        </w:rPr>
        <w:t xml:space="preserve">Publicité </w:t>
      </w:r>
      <w:r w:rsidR="00BB163A">
        <w:rPr>
          <w:sz w:val="22"/>
          <w:szCs w:val="22"/>
        </w:rPr>
        <w:t xml:space="preserve">(possible) </w:t>
      </w:r>
      <w:r w:rsidRPr="00870077">
        <w:rPr>
          <w:sz w:val="22"/>
          <w:szCs w:val="22"/>
        </w:rPr>
        <w:t>du jeu de données à travers le site web ILICO</w:t>
      </w:r>
      <w:r w:rsidR="00E454DE">
        <w:rPr>
          <w:sz w:val="22"/>
          <w:szCs w:val="22"/>
        </w:rPr>
        <w:t xml:space="preserve"> et le</w:t>
      </w:r>
      <w:r w:rsidR="004E483D">
        <w:rPr>
          <w:sz w:val="22"/>
          <w:szCs w:val="22"/>
        </w:rPr>
        <w:t>(s)</w:t>
      </w:r>
      <w:r w:rsidR="00E454DE">
        <w:rPr>
          <w:sz w:val="22"/>
          <w:szCs w:val="22"/>
        </w:rPr>
        <w:t xml:space="preserve"> catalogue</w:t>
      </w:r>
      <w:r w:rsidR="004E483D">
        <w:rPr>
          <w:sz w:val="22"/>
          <w:szCs w:val="22"/>
        </w:rPr>
        <w:t>(s)</w:t>
      </w:r>
      <w:r w:rsidR="00E454DE">
        <w:rPr>
          <w:sz w:val="22"/>
          <w:szCs w:val="22"/>
        </w:rPr>
        <w:t xml:space="preserve"> ILICO sur </w:t>
      </w:r>
      <w:proofErr w:type="spellStart"/>
      <w:r w:rsidR="004E483D">
        <w:rPr>
          <w:sz w:val="22"/>
          <w:szCs w:val="22"/>
        </w:rPr>
        <w:t>DataTerra</w:t>
      </w:r>
      <w:proofErr w:type="spellEnd"/>
      <w:r w:rsidR="004E483D">
        <w:rPr>
          <w:sz w:val="22"/>
          <w:szCs w:val="22"/>
        </w:rPr>
        <w:t> ;</w:t>
      </w:r>
    </w:p>
    <w:p w14:paraId="4D0CB137" w14:textId="61E4E093" w:rsidR="00870077" w:rsidRDefault="004E483D" w:rsidP="00652769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 c</w:t>
      </w:r>
      <w:r w:rsidR="00BB163A">
        <w:rPr>
          <w:sz w:val="22"/>
          <w:szCs w:val="22"/>
        </w:rPr>
        <w:t>adre pour échanger</w:t>
      </w:r>
      <w:r w:rsidR="00870077" w:rsidRPr="00870077">
        <w:rPr>
          <w:sz w:val="22"/>
          <w:szCs w:val="22"/>
        </w:rPr>
        <w:t xml:space="preserve"> avec la Direction d’ILICO et avec les responsables des SNO</w:t>
      </w:r>
      <w:r>
        <w:rPr>
          <w:sz w:val="22"/>
          <w:szCs w:val="22"/>
        </w:rPr>
        <w:t> ;</w:t>
      </w:r>
    </w:p>
    <w:p w14:paraId="5008A8C2" w14:textId="524DF1A8" w:rsidR="00352584" w:rsidRDefault="00352584" w:rsidP="00652769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Soutien </w:t>
      </w:r>
      <w:r w:rsidR="00BB163A">
        <w:rPr>
          <w:sz w:val="22"/>
          <w:szCs w:val="22"/>
        </w:rPr>
        <w:t xml:space="preserve">possible </w:t>
      </w:r>
      <w:r>
        <w:rPr>
          <w:sz w:val="22"/>
          <w:szCs w:val="22"/>
        </w:rPr>
        <w:t xml:space="preserve">d’ILICO dans l’optique de la </w:t>
      </w:r>
      <w:proofErr w:type="spellStart"/>
      <w:r w:rsidR="00652769">
        <w:rPr>
          <w:sz w:val="22"/>
          <w:szCs w:val="22"/>
        </w:rPr>
        <w:t>FAIRisation</w:t>
      </w:r>
      <w:proofErr w:type="spellEnd"/>
      <w:r w:rsidR="000D60F8">
        <w:rPr>
          <w:sz w:val="22"/>
          <w:szCs w:val="22"/>
        </w:rPr>
        <w:t xml:space="preserve"> et de la </w:t>
      </w:r>
      <w:r>
        <w:rPr>
          <w:sz w:val="22"/>
          <w:szCs w:val="22"/>
        </w:rPr>
        <w:t>pérennisation des données</w:t>
      </w:r>
      <w:r w:rsidR="004E483D">
        <w:rPr>
          <w:sz w:val="22"/>
          <w:szCs w:val="22"/>
        </w:rPr>
        <w:t> ;</w:t>
      </w:r>
    </w:p>
    <w:p w14:paraId="423D39B6" w14:textId="3E5A3989" w:rsidR="00E454DE" w:rsidRPr="00652769" w:rsidRDefault="00652769" w:rsidP="00652769">
      <w:pPr>
        <w:pStyle w:val="Paragraphedeliste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Eventuellement, appui d’ILICO dans une démarche de labellisation scientifique (au sein d’un SNO) ;</w:t>
      </w:r>
    </w:p>
    <w:p w14:paraId="4F1FBBD9" w14:textId="2CE3B771" w:rsidR="00870077" w:rsidRPr="00870077" w:rsidRDefault="00870077" w:rsidP="00870077">
      <w:pPr>
        <w:rPr>
          <w:sz w:val="22"/>
          <w:szCs w:val="22"/>
        </w:rPr>
      </w:pPr>
    </w:p>
    <w:p w14:paraId="3A8CC00F" w14:textId="048FA036" w:rsidR="00BB163A" w:rsidRPr="000D60F8" w:rsidRDefault="00BB163A" w:rsidP="000D60F8">
      <w:pPr>
        <w:pStyle w:val="Paragraphedeliste"/>
        <w:numPr>
          <w:ilvl w:val="0"/>
          <w:numId w:val="19"/>
        </w:numPr>
        <w:spacing w:before="120"/>
        <w:rPr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Processus de recensement</w:t>
      </w:r>
    </w:p>
    <w:p w14:paraId="76453910" w14:textId="5BF0F709" w:rsidR="00BB163A" w:rsidRDefault="00BB163A" w:rsidP="004A2011">
      <w:pPr>
        <w:spacing w:before="120"/>
        <w:jc w:val="both"/>
        <w:rPr>
          <w:color w:val="000000" w:themeColor="text1"/>
          <w:sz w:val="22"/>
          <w:szCs w:val="22"/>
          <w:lang w:bidi="fr-FR"/>
        </w:rPr>
      </w:pPr>
      <w:r>
        <w:rPr>
          <w:color w:val="000000" w:themeColor="text1"/>
          <w:sz w:val="22"/>
          <w:szCs w:val="22"/>
          <w:lang w:bidi="fr-FR"/>
        </w:rPr>
        <w:t>Pour constituer le catalogue initial, il est proposé un processus en deux temps :</w:t>
      </w:r>
    </w:p>
    <w:p w14:paraId="2B5E25BD" w14:textId="4EFD5FA7" w:rsidR="00534E04" w:rsidRPr="0076018A" w:rsidRDefault="004A2011" w:rsidP="004A2011">
      <w:pPr>
        <w:spacing w:before="120"/>
        <w:jc w:val="both"/>
        <w:rPr>
          <w:b/>
          <w:color w:val="000000" w:themeColor="text1"/>
          <w:sz w:val="22"/>
          <w:szCs w:val="22"/>
          <w:lang w:bidi="fr-FR"/>
        </w:rPr>
      </w:pPr>
      <w:r w:rsidRPr="0076018A">
        <w:rPr>
          <w:b/>
          <w:color w:val="000000" w:themeColor="text1"/>
          <w:sz w:val="22"/>
          <w:szCs w:val="22"/>
          <w:lang w:bidi="fr-FR"/>
        </w:rPr>
        <w:t>Etape 1</w:t>
      </w:r>
      <w:r w:rsidRPr="004A2011">
        <w:rPr>
          <w:color w:val="000000" w:themeColor="text1"/>
          <w:sz w:val="22"/>
          <w:szCs w:val="22"/>
          <w:lang w:bidi="fr-FR"/>
        </w:rPr>
        <w:t xml:space="preserve"> : </w:t>
      </w:r>
      <w:r w:rsidR="00BB163A">
        <w:rPr>
          <w:color w:val="000000" w:themeColor="text1"/>
          <w:sz w:val="22"/>
          <w:szCs w:val="22"/>
          <w:lang w:bidi="fr-FR"/>
        </w:rPr>
        <w:t xml:space="preserve">recensement auprès </w:t>
      </w:r>
      <w:r w:rsidR="00534E04">
        <w:rPr>
          <w:color w:val="000000" w:themeColor="text1"/>
          <w:sz w:val="22"/>
          <w:szCs w:val="22"/>
          <w:lang w:bidi="fr-FR"/>
        </w:rPr>
        <w:t xml:space="preserve">des membres du bureau Fédéral d’ILICO (= les coordinateurs des SNO et les porteurs d’actions transverses). Ce premier recensement consiste </w:t>
      </w:r>
      <w:r w:rsidR="00534E04" w:rsidRPr="0076018A">
        <w:rPr>
          <w:b/>
          <w:color w:val="000000" w:themeColor="text1"/>
          <w:sz w:val="22"/>
          <w:szCs w:val="22"/>
          <w:lang w:bidi="fr-FR"/>
        </w:rPr>
        <w:t>à remplir le tableau fourni en annexe</w:t>
      </w:r>
      <w:r w:rsidR="0076018A">
        <w:rPr>
          <w:b/>
          <w:color w:val="000000" w:themeColor="text1"/>
          <w:sz w:val="22"/>
          <w:szCs w:val="22"/>
          <w:lang w:bidi="fr-FR"/>
        </w:rPr>
        <w:t xml:space="preserve">. </w:t>
      </w:r>
    </w:p>
    <w:p w14:paraId="6189E49A" w14:textId="1501EADF" w:rsidR="0076018A" w:rsidRPr="000D60F8" w:rsidRDefault="004A2011" w:rsidP="00870077">
      <w:pPr>
        <w:spacing w:before="120"/>
        <w:jc w:val="both"/>
        <w:rPr>
          <w:color w:val="000000" w:themeColor="text1"/>
          <w:sz w:val="22"/>
          <w:szCs w:val="22"/>
          <w:lang w:bidi="fr-FR"/>
        </w:rPr>
      </w:pPr>
      <w:r w:rsidRPr="0076018A">
        <w:rPr>
          <w:b/>
          <w:color w:val="000000" w:themeColor="text1"/>
          <w:sz w:val="22"/>
          <w:szCs w:val="22"/>
          <w:lang w:bidi="fr-FR"/>
        </w:rPr>
        <w:t>Etape 2</w:t>
      </w:r>
      <w:r>
        <w:rPr>
          <w:color w:val="000000" w:themeColor="text1"/>
          <w:sz w:val="22"/>
          <w:szCs w:val="22"/>
          <w:lang w:bidi="fr-FR"/>
        </w:rPr>
        <w:t> :</w:t>
      </w:r>
      <w:r w:rsidR="00534E04">
        <w:rPr>
          <w:color w:val="000000" w:themeColor="text1"/>
          <w:sz w:val="22"/>
          <w:szCs w:val="22"/>
          <w:lang w:bidi="fr-FR"/>
        </w:rPr>
        <w:t xml:space="preserve"> description plus fine des jeux de données auprès des PI. L’objectif est ici de constituer le catalogue, avec des éléments de description des données, de contrôle qualité, d’accessibilité</w:t>
      </w:r>
      <w:r w:rsidR="00440BBE">
        <w:rPr>
          <w:color w:val="000000" w:themeColor="text1"/>
          <w:sz w:val="22"/>
          <w:szCs w:val="22"/>
          <w:lang w:bidi="fr-FR"/>
        </w:rPr>
        <w:t>.</w:t>
      </w:r>
    </w:p>
    <w:p w14:paraId="5CC5DD00" w14:textId="705848A4" w:rsidR="00E454DE" w:rsidRPr="0076018A" w:rsidRDefault="0076018A" w:rsidP="00870077">
      <w:pPr>
        <w:spacing w:before="120"/>
        <w:jc w:val="both"/>
        <w:rPr>
          <w:bCs/>
          <w:color w:val="000000" w:themeColor="text1"/>
          <w:sz w:val="22"/>
          <w:szCs w:val="22"/>
          <w:lang w:bidi="fr-FR"/>
        </w:rPr>
      </w:pPr>
      <w:r w:rsidRPr="0076018A">
        <w:rPr>
          <w:bCs/>
          <w:color w:val="000000" w:themeColor="text1"/>
          <w:sz w:val="22"/>
          <w:szCs w:val="22"/>
          <w:lang w:bidi="fr-FR"/>
        </w:rPr>
        <w:t>Ce processus sera renouvelé</w:t>
      </w:r>
      <w:r w:rsidR="000D60F8">
        <w:rPr>
          <w:bCs/>
          <w:color w:val="000000" w:themeColor="text1"/>
          <w:sz w:val="22"/>
          <w:szCs w:val="22"/>
          <w:lang w:bidi="fr-FR"/>
        </w:rPr>
        <w:t>, par exemple</w:t>
      </w:r>
      <w:r w:rsidRPr="0076018A">
        <w:rPr>
          <w:bCs/>
          <w:color w:val="000000" w:themeColor="text1"/>
          <w:sz w:val="22"/>
          <w:szCs w:val="22"/>
          <w:lang w:bidi="fr-FR"/>
        </w:rPr>
        <w:t xml:space="preserve"> une fois par an en conjonction avec l’Assemblée Générale : étape 1 pour identifier d’éventuelles nouvelles données, étape 2 pour mettre à jour le catalogue.</w:t>
      </w:r>
    </w:p>
    <w:p w14:paraId="71DDB84E" w14:textId="77777777" w:rsidR="000D60F8" w:rsidRDefault="000D60F8" w:rsidP="00870077">
      <w:pPr>
        <w:spacing w:before="120"/>
        <w:jc w:val="both"/>
        <w:rPr>
          <w:b/>
          <w:bCs/>
          <w:color w:val="000000" w:themeColor="text1"/>
          <w:sz w:val="22"/>
          <w:szCs w:val="22"/>
          <w:lang w:bidi="fr-FR"/>
        </w:rPr>
        <w:sectPr w:rsidR="000D60F8" w:rsidSect="00652769">
          <w:headerReference w:type="default" r:id="rId8"/>
          <w:footerReference w:type="default" r:id="rId9"/>
          <w:headerReference w:type="first" r:id="rId10"/>
          <w:footerReference w:type="first" r:id="rId11"/>
          <w:pgSz w:w="11900" w:h="16820"/>
          <w:pgMar w:top="1417" w:right="1417" w:bottom="1276" w:left="1417" w:header="708" w:footer="708" w:gutter="0"/>
          <w:cols w:space="708"/>
          <w:titlePg/>
          <w:docGrid w:linePitch="360"/>
        </w:sectPr>
      </w:pPr>
    </w:p>
    <w:p w14:paraId="0E68BABE" w14:textId="59AA35C5" w:rsidR="0076018A" w:rsidRDefault="0076018A" w:rsidP="00870077">
      <w:pPr>
        <w:spacing w:before="120"/>
        <w:jc w:val="both"/>
        <w:rPr>
          <w:b/>
          <w:bCs/>
          <w:color w:val="000000" w:themeColor="text1"/>
          <w:sz w:val="22"/>
          <w:szCs w:val="22"/>
          <w:lang w:bidi="fr-FR"/>
        </w:rPr>
      </w:pPr>
    </w:p>
    <w:p w14:paraId="506A9F47" w14:textId="38D79824" w:rsidR="00E454DE" w:rsidRDefault="009E2B74" w:rsidP="00870077">
      <w:pPr>
        <w:spacing w:before="1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ANNEXE </w:t>
      </w:r>
    </w:p>
    <w:p w14:paraId="5345A5DD" w14:textId="36C6BCA3" w:rsidR="00E454DE" w:rsidRPr="00652769" w:rsidRDefault="009E2B74" w:rsidP="00870077">
      <w:pPr>
        <w:spacing w:before="120"/>
        <w:jc w:val="both"/>
        <w:rPr>
          <w:rFonts w:cs="Times New Roman"/>
          <w:b/>
          <w:bCs/>
          <w:sz w:val="22"/>
          <w:szCs w:val="22"/>
        </w:rPr>
      </w:pPr>
      <w:r w:rsidRPr="00652769">
        <w:rPr>
          <w:rFonts w:cs="Times New Roman"/>
          <w:b/>
          <w:bCs/>
          <w:sz w:val="22"/>
          <w:szCs w:val="22"/>
        </w:rPr>
        <w:t>Informations demandées aux membres du bureau fédéral pour identifier les jeux de données pertinents :</w:t>
      </w:r>
    </w:p>
    <w:p w14:paraId="013F81AD" w14:textId="7C5E6FC2" w:rsidR="009E2B74" w:rsidRDefault="009E2B74" w:rsidP="00870077">
      <w:pPr>
        <w:spacing w:before="120"/>
        <w:jc w:val="both"/>
        <w:rPr>
          <w:rFonts w:cs="Times New Roman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1985"/>
        <w:gridCol w:w="1984"/>
        <w:gridCol w:w="4253"/>
      </w:tblGrid>
      <w:tr w:rsidR="006D0781" w14:paraId="4838FAC8" w14:textId="6794DC58" w:rsidTr="000D60F8">
        <w:tc>
          <w:tcPr>
            <w:tcW w:w="183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93EA1" w14:textId="0E810EE5" w:rsidR="009E2B74" w:rsidRPr="0076018A" w:rsidRDefault="009E2B74" w:rsidP="009E2B74">
            <w:pPr>
              <w:spacing w:before="120"/>
              <w:rPr>
                <w:rFonts w:cs="Times New Roman"/>
                <w:b/>
                <w:bCs/>
                <w:sz w:val="20"/>
                <w:szCs w:val="22"/>
              </w:rPr>
            </w:pPr>
            <w:r w:rsidRPr="0076018A">
              <w:rPr>
                <w:rFonts w:cs="Times New Roman"/>
                <w:b/>
                <w:bCs/>
                <w:sz w:val="20"/>
                <w:szCs w:val="22"/>
              </w:rPr>
              <w:t>Identification (nom) du jeu de données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46CEC" w14:textId="6A46A739" w:rsidR="009E2B74" w:rsidRPr="0076018A" w:rsidRDefault="009E2B74" w:rsidP="009E2B74">
            <w:pPr>
              <w:spacing w:before="120"/>
              <w:rPr>
                <w:rFonts w:cs="Times New Roman"/>
                <w:b/>
                <w:bCs/>
                <w:sz w:val="20"/>
                <w:szCs w:val="22"/>
              </w:rPr>
            </w:pPr>
            <w:r w:rsidRPr="0076018A">
              <w:rPr>
                <w:rFonts w:cs="Times New Roman"/>
                <w:b/>
                <w:bCs/>
                <w:sz w:val="20"/>
                <w:szCs w:val="22"/>
              </w:rPr>
              <w:t>Nom, affiliation et email de « l’investigateur principal 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369B0" w14:textId="3676C7E4" w:rsidR="009E2B74" w:rsidRPr="0076018A" w:rsidRDefault="009E2B74" w:rsidP="009E2B74">
            <w:pPr>
              <w:spacing w:before="120"/>
              <w:rPr>
                <w:rFonts w:cs="Times New Roman"/>
                <w:b/>
                <w:bCs/>
                <w:sz w:val="20"/>
                <w:szCs w:val="22"/>
              </w:rPr>
            </w:pPr>
            <w:r w:rsidRPr="0076018A">
              <w:rPr>
                <w:rFonts w:cs="Times New Roman"/>
                <w:b/>
                <w:bCs/>
                <w:sz w:val="20"/>
                <w:szCs w:val="22"/>
              </w:rPr>
              <w:t>Paramètres mesurés</w:t>
            </w:r>
            <w:r w:rsidR="0076018A" w:rsidRPr="0076018A">
              <w:rPr>
                <w:rFonts w:cs="Times New Roman"/>
                <w:b/>
                <w:bCs/>
                <w:sz w:val="20"/>
                <w:szCs w:val="22"/>
              </w:rPr>
              <w:t xml:space="preserve"> (à votre connaissance)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A3124" w14:textId="536C76EA" w:rsidR="009E2B74" w:rsidRPr="0076018A" w:rsidRDefault="009E2B74" w:rsidP="009E2B74">
            <w:pPr>
              <w:spacing w:before="120"/>
              <w:rPr>
                <w:rFonts w:cs="Times New Roman"/>
                <w:b/>
                <w:bCs/>
                <w:sz w:val="20"/>
                <w:szCs w:val="22"/>
              </w:rPr>
            </w:pPr>
            <w:r w:rsidRPr="0076018A">
              <w:rPr>
                <w:rFonts w:cs="Times New Roman"/>
                <w:b/>
                <w:bCs/>
                <w:sz w:val="20"/>
                <w:szCs w:val="22"/>
              </w:rPr>
              <w:t>Couverture géographique</w:t>
            </w:r>
            <w:r w:rsidR="0076018A" w:rsidRPr="0076018A">
              <w:rPr>
                <w:rFonts w:cs="Times New Roman"/>
                <w:b/>
                <w:bCs/>
                <w:sz w:val="20"/>
                <w:szCs w:val="22"/>
              </w:rPr>
              <w:t xml:space="preserve"> (à votre connaissance)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C38BA" w14:textId="390796EE" w:rsidR="009E2B74" w:rsidRPr="0076018A" w:rsidRDefault="009E2B74" w:rsidP="009E2B74">
            <w:pPr>
              <w:spacing w:before="120"/>
              <w:rPr>
                <w:rFonts w:cs="Times New Roman"/>
                <w:b/>
                <w:bCs/>
                <w:sz w:val="20"/>
                <w:szCs w:val="22"/>
              </w:rPr>
            </w:pPr>
            <w:r w:rsidRPr="0076018A">
              <w:rPr>
                <w:rFonts w:cs="Times New Roman"/>
                <w:b/>
                <w:bCs/>
                <w:sz w:val="20"/>
                <w:szCs w:val="22"/>
              </w:rPr>
              <w:t>Couverture temporelle</w:t>
            </w:r>
            <w:r w:rsidR="0076018A" w:rsidRPr="0076018A">
              <w:rPr>
                <w:rFonts w:cs="Times New Roman"/>
                <w:b/>
                <w:bCs/>
                <w:sz w:val="20"/>
                <w:szCs w:val="22"/>
              </w:rPr>
              <w:t xml:space="preserve"> (à votre connaissance)</w:t>
            </w: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6035E" w14:textId="771BEC39" w:rsidR="009E2B74" w:rsidRPr="0076018A" w:rsidRDefault="006D0781" w:rsidP="009E2B74">
            <w:pPr>
              <w:spacing w:before="120"/>
              <w:rPr>
                <w:rFonts w:cs="Times New Roman"/>
                <w:b/>
                <w:bCs/>
                <w:sz w:val="20"/>
                <w:szCs w:val="22"/>
              </w:rPr>
            </w:pPr>
            <w:r w:rsidRPr="0076018A">
              <w:rPr>
                <w:rFonts w:cs="Times New Roman"/>
                <w:b/>
                <w:bCs/>
                <w:sz w:val="20"/>
                <w:szCs w:val="22"/>
              </w:rPr>
              <w:t xml:space="preserve">Intérêt pour la </w:t>
            </w:r>
            <w:r w:rsidR="00F8328C" w:rsidRPr="0076018A">
              <w:rPr>
                <w:rFonts w:cs="Times New Roman"/>
                <w:b/>
                <w:bCs/>
                <w:sz w:val="20"/>
                <w:szCs w:val="22"/>
              </w:rPr>
              <w:t>communauté</w:t>
            </w:r>
            <w:r w:rsidRPr="0076018A">
              <w:rPr>
                <w:rFonts w:cs="Times New Roman"/>
                <w:b/>
                <w:bCs/>
                <w:sz w:val="20"/>
                <w:szCs w:val="22"/>
              </w:rPr>
              <w:t xml:space="preserve"> ILICO</w:t>
            </w:r>
          </w:p>
        </w:tc>
      </w:tr>
      <w:tr w:rsidR="006D0781" w14:paraId="1C9D5CDB" w14:textId="314C2077" w:rsidTr="000D60F8">
        <w:tc>
          <w:tcPr>
            <w:tcW w:w="183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9A1DF" w14:textId="77777777" w:rsidR="009E2B74" w:rsidRDefault="009E2B74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3D256" w14:textId="77777777" w:rsidR="009E2B74" w:rsidRDefault="009E2B74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8FD6B" w14:textId="77777777" w:rsidR="009E2B74" w:rsidRDefault="009E2B74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EB2FB" w14:textId="77777777" w:rsidR="009E2B74" w:rsidRDefault="009E2B74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54178" w14:textId="77777777" w:rsidR="009E2B74" w:rsidRDefault="009E2B74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63D9C" w14:textId="77777777" w:rsidR="009E2B74" w:rsidRDefault="009E2B74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6018A" w14:paraId="7C6B7BC7" w14:textId="77777777" w:rsidTr="000D60F8">
        <w:tc>
          <w:tcPr>
            <w:tcW w:w="183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D54FA" w14:textId="77777777" w:rsidR="0076018A" w:rsidRDefault="0076018A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1B317" w14:textId="77777777" w:rsidR="0076018A" w:rsidRDefault="0076018A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06302" w14:textId="77777777" w:rsidR="0076018A" w:rsidRDefault="0076018A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2FBB3" w14:textId="77777777" w:rsidR="0076018A" w:rsidRDefault="0076018A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ECFCD" w14:textId="77777777" w:rsidR="0076018A" w:rsidRDefault="0076018A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6DA25" w14:textId="77777777" w:rsidR="0076018A" w:rsidRDefault="0076018A" w:rsidP="00870077">
            <w:pPr>
              <w:spacing w:before="120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4DF2623C" w14:textId="66AF6772" w:rsidR="009E2B74" w:rsidRDefault="009E2B74" w:rsidP="00870077">
      <w:pPr>
        <w:spacing w:before="120"/>
        <w:jc w:val="both"/>
        <w:rPr>
          <w:rFonts w:cs="Times New Roman"/>
          <w:bCs/>
          <w:sz w:val="22"/>
          <w:szCs w:val="22"/>
        </w:rPr>
      </w:pPr>
    </w:p>
    <w:p w14:paraId="72205D79" w14:textId="77777777" w:rsidR="009E2B74" w:rsidRPr="009E2B74" w:rsidRDefault="009E2B74" w:rsidP="00870077">
      <w:pPr>
        <w:spacing w:before="120"/>
        <w:jc w:val="both"/>
        <w:rPr>
          <w:rFonts w:cs="Times New Roman"/>
          <w:bCs/>
          <w:sz w:val="22"/>
          <w:szCs w:val="22"/>
        </w:rPr>
      </w:pPr>
    </w:p>
    <w:p w14:paraId="72AB757A" w14:textId="77777777" w:rsidR="009E2B74" w:rsidRPr="004A2011" w:rsidRDefault="009E2B74" w:rsidP="00870077">
      <w:pPr>
        <w:spacing w:before="120"/>
        <w:jc w:val="both"/>
        <w:rPr>
          <w:sz w:val="22"/>
        </w:rPr>
      </w:pPr>
    </w:p>
    <w:sectPr w:rsidR="009E2B74" w:rsidRPr="004A2011" w:rsidSect="000D60F8">
      <w:pgSz w:w="16820" w:h="1190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BEE9" w14:textId="77777777" w:rsidR="00DE3E14" w:rsidRDefault="00DE3E14" w:rsidP="000F0210">
      <w:r>
        <w:separator/>
      </w:r>
    </w:p>
  </w:endnote>
  <w:endnote w:type="continuationSeparator" w:id="0">
    <w:p w14:paraId="66F65F26" w14:textId="77777777" w:rsidR="00DE3E14" w:rsidRDefault="00DE3E14" w:rsidP="000F0210">
      <w:r>
        <w:continuationSeparator/>
      </w:r>
    </w:p>
  </w:endnote>
  <w:endnote w:type="continuationNotice" w:id="1">
    <w:p w14:paraId="516D5B34" w14:textId="77777777" w:rsidR="00DE3E14" w:rsidRDefault="00DE3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4C41" w14:textId="77777777" w:rsidR="003A0248" w:rsidRDefault="003A02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808080" w:themeColor="background1" w:themeShade="80"/>
        <w:sz w:val="20"/>
        <w:szCs w:val="20"/>
      </w:rPr>
      <w:id w:val="14500511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136B77" w14:textId="225C3C04" w:rsidR="006F76FE" w:rsidRPr="006F76FE" w:rsidRDefault="006F76FE" w:rsidP="006F76FE">
        <w:pPr>
          <w:pStyle w:val="Pieddepage"/>
          <w:framePr w:wrap="notBeside" w:vAnchor="text" w:hAnchor="margin" w:xAlign="right" w:y="1"/>
          <w:rPr>
            <w:rStyle w:val="Numrodepage"/>
            <w:color w:val="808080" w:themeColor="background1" w:themeShade="80"/>
            <w:sz w:val="20"/>
            <w:szCs w:val="20"/>
          </w:rPr>
        </w:pPr>
        <w:r w:rsidRPr="006F76FE">
          <w:rPr>
            <w:rStyle w:val="Numrodepage"/>
            <w:color w:val="808080" w:themeColor="background1" w:themeShade="80"/>
            <w:sz w:val="20"/>
            <w:szCs w:val="20"/>
          </w:rPr>
          <w:fldChar w:fldCharType="begin"/>
        </w:r>
        <w:r w:rsidRPr="006F76FE">
          <w:rPr>
            <w:rStyle w:val="Numrodepage"/>
            <w:color w:val="808080" w:themeColor="background1" w:themeShade="80"/>
            <w:sz w:val="20"/>
            <w:szCs w:val="20"/>
          </w:rPr>
          <w:instrText xml:space="preserve"> PAGE </w:instrText>
        </w:r>
        <w:r w:rsidRPr="006F76FE">
          <w:rPr>
            <w:rStyle w:val="Numrodepage"/>
            <w:color w:val="808080" w:themeColor="background1" w:themeShade="80"/>
            <w:sz w:val="20"/>
            <w:szCs w:val="20"/>
          </w:rPr>
          <w:fldChar w:fldCharType="separate"/>
        </w:r>
        <w:r w:rsidRPr="006F76FE">
          <w:rPr>
            <w:rStyle w:val="Numrodepage"/>
            <w:noProof/>
            <w:color w:val="808080" w:themeColor="background1" w:themeShade="80"/>
            <w:sz w:val="20"/>
            <w:szCs w:val="20"/>
          </w:rPr>
          <w:t>1</w:t>
        </w:r>
        <w:r w:rsidRPr="006F76FE">
          <w:rPr>
            <w:rStyle w:val="Numrodepage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534E1171" w14:textId="77777777" w:rsidR="006F76FE" w:rsidRDefault="006F76FE" w:rsidP="006F76F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E6CF" w14:textId="77777777" w:rsidR="00DE3E14" w:rsidRDefault="00DE3E14" w:rsidP="000F0210">
      <w:r>
        <w:separator/>
      </w:r>
    </w:p>
  </w:footnote>
  <w:footnote w:type="continuationSeparator" w:id="0">
    <w:p w14:paraId="2771593C" w14:textId="77777777" w:rsidR="00DE3E14" w:rsidRDefault="00DE3E14" w:rsidP="000F0210">
      <w:r>
        <w:continuationSeparator/>
      </w:r>
    </w:p>
  </w:footnote>
  <w:footnote w:type="continuationNotice" w:id="1">
    <w:p w14:paraId="3C988790" w14:textId="77777777" w:rsidR="00DE3E14" w:rsidRDefault="00DE3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1CA4" w14:textId="77777777" w:rsidR="003A0248" w:rsidRDefault="003A02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86D3" w14:textId="3A770AB3" w:rsidR="008609E7" w:rsidRDefault="008609E7">
    <w:pPr>
      <w:pStyle w:val="En-tte"/>
    </w:pPr>
    <w:r w:rsidRPr="000B729F">
      <w:rPr>
        <w:b/>
        <w:noProof/>
      </w:rPr>
      <w:drawing>
        <wp:inline distT="0" distB="0" distL="0" distR="0" wp14:anchorId="03E25A2F" wp14:editId="1DAA78CB">
          <wp:extent cx="2431786" cy="997585"/>
          <wp:effectExtent l="25400" t="0" r="6614" b="0"/>
          <wp:docPr id="1" name="Image 0" descr="ilico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icoLogotype.jpg"/>
                  <pic:cNvPicPr/>
                </pic:nvPicPr>
                <pic:blipFill>
                  <a:blip r:embed="rId1"/>
                  <a:srcRect l="13647" t="11241" r="8560" b="14373"/>
                  <a:stretch>
                    <a:fillRect/>
                  </a:stretch>
                </pic:blipFill>
                <pic:spPr>
                  <a:xfrm>
                    <a:off x="0" y="0"/>
                    <a:ext cx="2438541" cy="1000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DE22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B1A44"/>
    <w:multiLevelType w:val="hybridMultilevel"/>
    <w:tmpl w:val="ACFEF7E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44754B8"/>
    <w:multiLevelType w:val="hybridMultilevel"/>
    <w:tmpl w:val="EB68B172"/>
    <w:lvl w:ilvl="0" w:tplc="0944BDD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7BB9"/>
    <w:multiLevelType w:val="hybridMultilevel"/>
    <w:tmpl w:val="7FB8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6914"/>
    <w:multiLevelType w:val="hybridMultilevel"/>
    <w:tmpl w:val="E8F6A4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95D58"/>
    <w:multiLevelType w:val="hybridMultilevel"/>
    <w:tmpl w:val="19E8199C"/>
    <w:lvl w:ilvl="0" w:tplc="77A2F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661F"/>
    <w:multiLevelType w:val="hybridMultilevel"/>
    <w:tmpl w:val="24366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14D80"/>
    <w:multiLevelType w:val="hybridMultilevel"/>
    <w:tmpl w:val="E312C5A4"/>
    <w:lvl w:ilvl="0" w:tplc="D144D40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500B83"/>
    <w:multiLevelType w:val="hybridMultilevel"/>
    <w:tmpl w:val="B0C04F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F1C16"/>
    <w:multiLevelType w:val="hybridMultilevel"/>
    <w:tmpl w:val="4B068D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B39BE"/>
    <w:multiLevelType w:val="hybridMultilevel"/>
    <w:tmpl w:val="EDA0BA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3F0F39"/>
    <w:multiLevelType w:val="hybridMultilevel"/>
    <w:tmpl w:val="59E643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21D4D"/>
    <w:multiLevelType w:val="hybridMultilevel"/>
    <w:tmpl w:val="6F769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53A"/>
    <w:multiLevelType w:val="hybridMultilevel"/>
    <w:tmpl w:val="4EF2E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86E8F"/>
    <w:multiLevelType w:val="hybridMultilevel"/>
    <w:tmpl w:val="61847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55FEC"/>
    <w:multiLevelType w:val="hybridMultilevel"/>
    <w:tmpl w:val="52FC00AA"/>
    <w:lvl w:ilvl="0" w:tplc="7B8E94C2">
      <w:numFmt w:val="bullet"/>
      <w:lvlText w:val=""/>
      <w:lvlJc w:val="left"/>
      <w:pPr>
        <w:ind w:left="720" w:hanging="360"/>
      </w:pPr>
      <w:rPr>
        <w:rFonts w:ascii="SymbolMT" w:eastAsia="SymbolMT" w:hAnsiTheme="minorHAnsi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3050"/>
    <w:multiLevelType w:val="hybridMultilevel"/>
    <w:tmpl w:val="47BA063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6562FFF"/>
    <w:multiLevelType w:val="hybridMultilevel"/>
    <w:tmpl w:val="32A8DB8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EE5F18"/>
    <w:multiLevelType w:val="hybridMultilevel"/>
    <w:tmpl w:val="B1EC3FB6"/>
    <w:lvl w:ilvl="0" w:tplc="A9FEE6D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C15C7"/>
    <w:multiLevelType w:val="hybridMultilevel"/>
    <w:tmpl w:val="6E9CC2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E6474D"/>
    <w:multiLevelType w:val="hybridMultilevel"/>
    <w:tmpl w:val="126A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13"/>
  </w:num>
  <w:num w:numId="10">
    <w:abstractNumId w:val="6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20"/>
  </w:num>
  <w:num w:numId="18">
    <w:abstractNumId w:val="11"/>
  </w:num>
  <w:num w:numId="19">
    <w:abstractNumId w:val="7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10"/>
    <w:rsid w:val="000009AA"/>
    <w:rsid w:val="00000BBB"/>
    <w:rsid w:val="000101BE"/>
    <w:rsid w:val="00030D6C"/>
    <w:rsid w:val="00076A7A"/>
    <w:rsid w:val="00076F68"/>
    <w:rsid w:val="000B088B"/>
    <w:rsid w:val="000C575C"/>
    <w:rsid w:val="000D60F8"/>
    <w:rsid w:val="000E488A"/>
    <w:rsid w:val="000E7376"/>
    <w:rsid w:val="000F0210"/>
    <w:rsid w:val="000F0345"/>
    <w:rsid w:val="00101328"/>
    <w:rsid w:val="001057DC"/>
    <w:rsid w:val="00113324"/>
    <w:rsid w:val="001375D4"/>
    <w:rsid w:val="0015313B"/>
    <w:rsid w:val="0017151D"/>
    <w:rsid w:val="001769D4"/>
    <w:rsid w:val="001B4F1C"/>
    <w:rsid w:val="001B6A45"/>
    <w:rsid w:val="001C345A"/>
    <w:rsid w:val="001E44B3"/>
    <w:rsid w:val="001F37EF"/>
    <w:rsid w:val="00212AE8"/>
    <w:rsid w:val="0022536F"/>
    <w:rsid w:val="00227604"/>
    <w:rsid w:val="00230FA7"/>
    <w:rsid w:val="00231DD4"/>
    <w:rsid w:val="002443A8"/>
    <w:rsid w:val="00244549"/>
    <w:rsid w:val="002447CA"/>
    <w:rsid w:val="0026691D"/>
    <w:rsid w:val="00281073"/>
    <w:rsid w:val="0028682E"/>
    <w:rsid w:val="002929C3"/>
    <w:rsid w:val="00293D3E"/>
    <w:rsid w:val="002D57C1"/>
    <w:rsid w:val="002F19A2"/>
    <w:rsid w:val="00305A4B"/>
    <w:rsid w:val="003234F9"/>
    <w:rsid w:val="00344506"/>
    <w:rsid w:val="00352584"/>
    <w:rsid w:val="00364FD5"/>
    <w:rsid w:val="00367393"/>
    <w:rsid w:val="00372130"/>
    <w:rsid w:val="00386587"/>
    <w:rsid w:val="003A0248"/>
    <w:rsid w:val="003A4B4D"/>
    <w:rsid w:val="003D0A24"/>
    <w:rsid w:val="003F5BF5"/>
    <w:rsid w:val="00407F32"/>
    <w:rsid w:val="00440BBE"/>
    <w:rsid w:val="00443350"/>
    <w:rsid w:val="004471BA"/>
    <w:rsid w:val="004564B7"/>
    <w:rsid w:val="00461BE8"/>
    <w:rsid w:val="00477074"/>
    <w:rsid w:val="0048742E"/>
    <w:rsid w:val="00487955"/>
    <w:rsid w:val="0049046F"/>
    <w:rsid w:val="00494631"/>
    <w:rsid w:val="004973D6"/>
    <w:rsid w:val="004A2011"/>
    <w:rsid w:val="004B32F1"/>
    <w:rsid w:val="004D2683"/>
    <w:rsid w:val="004D35A7"/>
    <w:rsid w:val="004E2BB5"/>
    <w:rsid w:val="004E483D"/>
    <w:rsid w:val="004E7607"/>
    <w:rsid w:val="00504EF2"/>
    <w:rsid w:val="0050534F"/>
    <w:rsid w:val="00534E04"/>
    <w:rsid w:val="00536C97"/>
    <w:rsid w:val="005403D6"/>
    <w:rsid w:val="005471D9"/>
    <w:rsid w:val="00551D1C"/>
    <w:rsid w:val="00553C4C"/>
    <w:rsid w:val="00557B33"/>
    <w:rsid w:val="00560A10"/>
    <w:rsid w:val="005637E6"/>
    <w:rsid w:val="00577E7D"/>
    <w:rsid w:val="00583821"/>
    <w:rsid w:val="005B49E4"/>
    <w:rsid w:val="005D7C94"/>
    <w:rsid w:val="005E6DEF"/>
    <w:rsid w:val="00622F92"/>
    <w:rsid w:val="00623CA2"/>
    <w:rsid w:val="006435CA"/>
    <w:rsid w:val="00652769"/>
    <w:rsid w:val="00653564"/>
    <w:rsid w:val="00663939"/>
    <w:rsid w:val="00665667"/>
    <w:rsid w:val="00667DA2"/>
    <w:rsid w:val="00684C2C"/>
    <w:rsid w:val="0069226E"/>
    <w:rsid w:val="006A6070"/>
    <w:rsid w:val="006C264D"/>
    <w:rsid w:val="006C5B34"/>
    <w:rsid w:val="006D0781"/>
    <w:rsid w:val="006E33EB"/>
    <w:rsid w:val="006E5ACC"/>
    <w:rsid w:val="006F049B"/>
    <w:rsid w:val="006F76FE"/>
    <w:rsid w:val="00724BFA"/>
    <w:rsid w:val="00751DE7"/>
    <w:rsid w:val="00752785"/>
    <w:rsid w:val="0076018A"/>
    <w:rsid w:val="00761242"/>
    <w:rsid w:val="007661D1"/>
    <w:rsid w:val="0077508F"/>
    <w:rsid w:val="007B0E47"/>
    <w:rsid w:val="007D64F3"/>
    <w:rsid w:val="007F7339"/>
    <w:rsid w:val="008206EC"/>
    <w:rsid w:val="00825506"/>
    <w:rsid w:val="00840441"/>
    <w:rsid w:val="00845640"/>
    <w:rsid w:val="0085111F"/>
    <w:rsid w:val="0085200F"/>
    <w:rsid w:val="008554A7"/>
    <w:rsid w:val="008609E7"/>
    <w:rsid w:val="00867396"/>
    <w:rsid w:val="00870077"/>
    <w:rsid w:val="0087229D"/>
    <w:rsid w:val="00876D6A"/>
    <w:rsid w:val="008C411A"/>
    <w:rsid w:val="008C5039"/>
    <w:rsid w:val="00905040"/>
    <w:rsid w:val="00913B51"/>
    <w:rsid w:val="00923049"/>
    <w:rsid w:val="00932A8A"/>
    <w:rsid w:val="00934527"/>
    <w:rsid w:val="00955D58"/>
    <w:rsid w:val="00960A3D"/>
    <w:rsid w:val="009708E7"/>
    <w:rsid w:val="00973FD6"/>
    <w:rsid w:val="00975216"/>
    <w:rsid w:val="009922E7"/>
    <w:rsid w:val="0099567E"/>
    <w:rsid w:val="009A0AED"/>
    <w:rsid w:val="009A38F2"/>
    <w:rsid w:val="009D25CF"/>
    <w:rsid w:val="009D651A"/>
    <w:rsid w:val="009E2B74"/>
    <w:rsid w:val="009E5228"/>
    <w:rsid w:val="009E598D"/>
    <w:rsid w:val="009F478C"/>
    <w:rsid w:val="009F4DB6"/>
    <w:rsid w:val="00A038C9"/>
    <w:rsid w:val="00A12A6E"/>
    <w:rsid w:val="00A15C45"/>
    <w:rsid w:val="00A321A5"/>
    <w:rsid w:val="00A4203D"/>
    <w:rsid w:val="00A505FD"/>
    <w:rsid w:val="00A511BE"/>
    <w:rsid w:val="00A72402"/>
    <w:rsid w:val="00A85788"/>
    <w:rsid w:val="00AC6B7E"/>
    <w:rsid w:val="00AD70FF"/>
    <w:rsid w:val="00B11BCC"/>
    <w:rsid w:val="00B21BF7"/>
    <w:rsid w:val="00B26B00"/>
    <w:rsid w:val="00B41BCF"/>
    <w:rsid w:val="00B8287A"/>
    <w:rsid w:val="00B82D3D"/>
    <w:rsid w:val="00B83436"/>
    <w:rsid w:val="00BA1D2F"/>
    <w:rsid w:val="00BB163A"/>
    <w:rsid w:val="00BD14AD"/>
    <w:rsid w:val="00BD6C29"/>
    <w:rsid w:val="00BF1B46"/>
    <w:rsid w:val="00C07152"/>
    <w:rsid w:val="00C142A5"/>
    <w:rsid w:val="00C17505"/>
    <w:rsid w:val="00C25DDC"/>
    <w:rsid w:val="00C30E7E"/>
    <w:rsid w:val="00C4656B"/>
    <w:rsid w:val="00C76F65"/>
    <w:rsid w:val="00C779C4"/>
    <w:rsid w:val="00CA7B65"/>
    <w:rsid w:val="00CB3349"/>
    <w:rsid w:val="00CD0531"/>
    <w:rsid w:val="00CD0A41"/>
    <w:rsid w:val="00CD1125"/>
    <w:rsid w:val="00CE0A34"/>
    <w:rsid w:val="00CE16FE"/>
    <w:rsid w:val="00CE549B"/>
    <w:rsid w:val="00CF0C58"/>
    <w:rsid w:val="00CF210C"/>
    <w:rsid w:val="00CF7493"/>
    <w:rsid w:val="00D058DB"/>
    <w:rsid w:val="00D07DA9"/>
    <w:rsid w:val="00D32A48"/>
    <w:rsid w:val="00D6219E"/>
    <w:rsid w:val="00D82496"/>
    <w:rsid w:val="00D867A2"/>
    <w:rsid w:val="00D87720"/>
    <w:rsid w:val="00DB79DF"/>
    <w:rsid w:val="00DD00FF"/>
    <w:rsid w:val="00DE3E14"/>
    <w:rsid w:val="00DE5574"/>
    <w:rsid w:val="00DE606C"/>
    <w:rsid w:val="00DF06F8"/>
    <w:rsid w:val="00E00316"/>
    <w:rsid w:val="00E030DC"/>
    <w:rsid w:val="00E05208"/>
    <w:rsid w:val="00E12CA1"/>
    <w:rsid w:val="00E22561"/>
    <w:rsid w:val="00E4076E"/>
    <w:rsid w:val="00E454DE"/>
    <w:rsid w:val="00E664AE"/>
    <w:rsid w:val="00E720F7"/>
    <w:rsid w:val="00E7242A"/>
    <w:rsid w:val="00E72F9B"/>
    <w:rsid w:val="00E926F9"/>
    <w:rsid w:val="00E94E86"/>
    <w:rsid w:val="00EB0EBC"/>
    <w:rsid w:val="00ED0113"/>
    <w:rsid w:val="00EF733A"/>
    <w:rsid w:val="00F13A6F"/>
    <w:rsid w:val="00F1413C"/>
    <w:rsid w:val="00F14AD4"/>
    <w:rsid w:val="00F22959"/>
    <w:rsid w:val="00F24CBF"/>
    <w:rsid w:val="00F26E3C"/>
    <w:rsid w:val="00F32D84"/>
    <w:rsid w:val="00F36AC4"/>
    <w:rsid w:val="00F43AFC"/>
    <w:rsid w:val="00F73D15"/>
    <w:rsid w:val="00F81CA6"/>
    <w:rsid w:val="00F8302A"/>
    <w:rsid w:val="00F8328C"/>
    <w:rsid w:val="00F8772A"/>
    <w:rsid w:val="00F929CE"/>
    <w:rsid w:val="00F97B81"/>
    <w:rsid w:val="00FB2E85"/>
    <w:rsid w:val="00FC3FF8"/>
    <w:rsid w:val="00FE1E3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2850B"/>
  <w14:defaultImageDpi w14:val="300"/>
  <w15:docId w15:val="{AA1A1530-C684-6E49-A3A3-3D7D3EA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02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0210"/>
  </w:style>
  <w:style w:type="paragraph" w:styleId="Pieddepage">
    <w:name w:val="footer"/>
    <w:basedOn w:val="Normal"/>
    <w:link w:val="PieddepageCar"/>
    <w:uiPriority w:val="99"/>
    <w:unhideWhenUsed/>
    <w:rsid w:val="000F02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0210"/>
  </w:style>
  <w:style w:type="table" w:styleId="Grilledutableau">
    <w:name w:val="Table Grid"/>
    <w:basedOn w:val="TableauNormal"/>
    <w:uiPriority w:val="59"/>
    <w:rsid w:val="000F0210"/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02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210"/>
    <w:rPr>
      <w:rFonts w:ascii="Lucida Grande" w:hAnsi="Lucida Grande" w:cs="Lucida Grande"/>
      <w:sz w:val="18"/>
      <w:szCs w:val="18"/>
    </w:rPr>
  </w:style>
  <w:style w:type="character" w:customStyle="1" w:styleId="Bodytext2">
    <w:name w:val="Body text (2)_"/>
    <w:basedOn w:val="Policepardfaut"/>
    <w:link w:val="Bodytext20"/>
    <w:rsid w:val="000F021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F0210"/>
    <w:pPr>
      <w:widowControl w:val="0"/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styleId="Lienhypertexte">
    <w:name w:val="Hyperlink"/>
    <w:basedOn w:val="Policepardfaut"/>
    <w:rsid w:val="000F0210"/>
    <w:rPr>
      <w:color w:val="0066CC"/>
      <w:u w:val="single"/>
    </w:rPr>
  </w:style>
  <w:style w:type="character" w:customStyle="1" w:styleId="Bodytext3Exact">
    <w:name w:val="Body text (3) Exact"/>
    <w:basedOn w:val="Policepardfaut"/>
    <w:link w:val="Bodytext3"/>
    <w:rsid w:val="000F0210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Bodytext4Exact">
    <w:name w:val="Body text (4) Exact"/>
    <w:basedOn w:val="Policepardfaut"/>
    <w:link w:val="Bodytext4"/>
    <w:rsid w:val="000F0210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Heading2">
    <w:name w:val="Heading #2_"/>
    <w:basedOn w:val="Policepardfaut"/>
    <w:link w:val="Heading20"/>
    <w:rsid w:val="000F021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0F0210"/>
    <w:pPr>
      <w:widowControl w:val="0"/>
      <w:shd w:val="clear" w:color="auto" w:fill="FFFFFF"/>
      <w:spacing w:after="120" w:line="163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">
    <w:name w:val="Body text (4)"/>
    <w:basedOn w:val="Normal"/>
    <w:link w:val="Bodytext4Exact"/>
    <w:rsid w:val="000F0210"/>
    <w:pPr>
      <w:widowControl w:val="0"/>
      <w:shd w:val="clear" w:color="auto" w:fill="FFFFFF"/>
      <w:spacing w:before="120" w:after="120" w:line="158" w:lineRule="exact"/>
    </w:pPr>
    <w:rPr>
      <w:rFonts w:ascii="Arial" w:eastAsia="Arial" w:hAnsi="Arial" w:cs="Arial"/>
      <w:sz w:val="14"/>
      <w:szCs w:val="14"/>
    </w:rPr>
  </w:style>
  <w:style w:type="paragraph" w:customStyle="1" w:styleId="Heading20">
    <w:name w:val="Heading #2"/>
    <w:basedOn w:val="Normal"/>
    <w:link w:val="Heading2"/>
    <w:rsid w:val="000F0210"/>
    <w:pPr>
      <w:widowControl w:val="0"/>
      <w:shd w:val="clear" w:color="auto" w:fill="FFFFFF"/>
      <w:spacing w:after="2220" w:line="0" w:lineRule="atLeast"/>
      <w:jc w:val="righ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7521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637E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5637E6"/>
  </w:style>
  <w:style w:type="character" w:customStyle="1" w:styleId="CommentaireCar">
    <w:name w:val="Commentaire Car"/>
    <w:basedOn w:val="Policepardfaut"/>
    <w:link w:val="Commentaire"/>
    <w:uiPriority w:val="99"/>
    <w:rsid w:val="005637E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37E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37E6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6F76FE"/>
  </w:style>
  <w:style w:type="paragraph" w:styleId="Rvision">
    <w:name w:val="Revision"/>
    <w:hidden/>
    <w:uiPriority w:val="99"/>
    <w:semiHidden/>
    <w:rsid w:val="0066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AA37-58D9-460A-8055-F3A2D43A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riou</dc:creator>
  <cp:keywords/>
  <dc:description/>
  <cp:lastModifiedBy>Jerome PAILLET, Ifremer Brest PDG-ODE-LOPS, 02 9</cp:lastModifiedBy>
  <cp:revision>2</cp:revision>
  <cp:lastPrinted>2021-09-22T14:21:00Z</cp:lastPrinted>
  <dcterms:created xsi:type="dcterms:W3CDTF">2021-10-27T14:57:00Z</dcterms:created>
  <dcterms:modified xsi:type="dcterms:W3CDTF">2021-10-27T14:57:00Z</dcterms:modified>
</cp:coreProperties>
</file>